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A02" w:rsidRPr="005E022B" w:rsidRDefault="00ED7A02" w:rsidP="0032741B">
      <w:pPr>
        <w:pStyle w:val="Titolo"/>
        <w:spacing w:before="0" w:after="0"/>
        <w:rPr>
          <w:rFonts w:ascii="Calibri" w:hAnsi="Calibri" w:cs="Calibri"/>
          <w:color w:val="0070C0"/>
          <w:lang w:val="de-DE"/>
        </w:rPr>
      </w:pPr>
      <w:bookmarkStart w:id="0" w:name="_GoBack"/>
      <w:bookmarkEnd w:id="0"/>
      <w:r w:rsidRPr="005E022B">
        <w:rPr>
          <w:rFonts w:ascii="Calibri" w:hAnsi="Calibri" w:cs="Calibri"/>
          <w:color w:val="0070C0"/>
          <w:lang w:val="de-DE"/>
        </w:rPr>
        <w:t>Programma Erasmus Plus – A.A. 2015/2016</w:t>
      </w:r>
    </w:p>
    <w:p w:rsidR="00ED7A02" w:rsidRDefault="00ED7A02" w:rsidP="0032741B">
      <w:pPr>
        <w:pStyle w:val="Titolo"/>
        <w:spacing w:before="0" w:after="0"/>
        <w:rPr>
          <w:rFonts w:ascii="Calibri" w:hAnsi="Calibri" w:cs="Calibri"/>
          <w:color w:val="0070C0"/>
        </w:rPr>
      </w:pPr>
      <w:r w:rsidRPr="0032741B">
        <w:rPr>
          <w:rFonts w:ascii="Calibri" w:hAnsi="Calibri" w:cs="Calibri"/>
          <w:color w:val="0070C0"/>
        </w:rPr>
        <w:t xml:space="preserve">Articolazione e </w:t>
      </w:r>
      <w:proofErr w:type="gramStart"/>
      <w:r w:rsidRPr="0032741B">
        <w:rPr>
          <w:rFonts w:ascii="Calibri" w:hAnsi="Calibri" w:cs="Calibri"/>
          <w:color w:val="0070C0"/>
        </w:rPr>
        <w:t>modalità</w:t>
      </w:r>
      <w:proofErr w:type="gramEnd"/>
      <w:r w:rsidRPr="0032741B">
        <w:rPr>
          <w:rFonts w:ascii="Calibri" w:hAnsi="Calibri" w:cs="Calibri"/>
          <w:color w:val="0070C0"/>
        </w:rPr>
        <w:t xml:space="preserve"> di utilizzo dei flussi STA</w:t>
      </w:r>
    </w:p>
    <w:p w:rsidR="00ED7A02" w:rsidRPr="0032741B" w:rsidRDefault="00ED7A02" w:rsidP="0032741B">
      <w:pPr>
        <w:pStyle w:val="Titolo"/>
        <w:spacing w:before="0" w:after="0"/>
        <w:rPr>
          <w:rFonts w:ascii="Calibri" w:hAnsi="Calibri" w:cs="Calibri"/>
          <w:color w:val="0070C0"/>
        </w:rPr>
      </w:pPr>
      <w:r w:rsidRPr="0032741B">
        <w:rPr>
          <w:rFonts w:ascii="Calibri" w:hAnsi="Calibri" w:cs="Calibri"/>
          <w:color w:val="0070C0"/>
        </w:rPr>
        <w:t>(Mobilità dei Docenti a fini didattici)</w:t>
      </w:r>
    </w:p>
    <w:p w:rsidR="00ED7A02" w:rsidRPr="00A145B4" w:rsidRDefault="00ED7A02" w:rsidP="0032741B">
      <w:pPr>
        <w:pStyle w:val="Titolo2"/>
      </w:pPr>
      <w:r w:rsidRPr="00A145B4">
        <w:t>Documentazione utile di riferimento</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7"/>
        <w:gridCol w:w="3497"/>
        <w:gridCol w:w="3497"/>
      </w:tblGrid>
      <w:tr w:rsidR="00ED7A02" w:rsidRPr="00D50E33" w:rsidTr="00D50E33">
        <w:tc>
          <w:tcPr>
            <w:tcW w:w="3497" w:type="dxa"/>
          </w:tcPr>
          <w:p w:rsidR="00ED7A02" w:rsidRPr="0093137B" w:rsidRDefault="00F37405" w:rsidP="0093137B">
            <w:pPr>
              <w:jc w:val="center"/>
            </w:pPr>
            <w:hyperlink r:id="rId8" w:history="1">
              <w:proofErr w:type="gramStart"/>
              <w:r w:rsidRPr="00F37405">
                <w:rPr>
                  <w:rStyle w:val="Collegamentoipertestuale"/>
                  <w:rFonts w:eastAsia="Times New Roman"/>
                </w:rPr>
                <w:t>REGOLAMENTO</w:t>
              </w:r>
              <w:proofErr w:type="gramEnd"/>
              <w:r w:rsidRPr="00F37405">
                <w:rPr>
                  <w:rStyle w:val="Collegamentoipertestuale"/>
                  <w:rFonts w:eastAsia="Times New Roman"/>
                </w:rPr>
                <w:t xml:space="preserve"> DI ATENEO PER LE MISSIONI E I RIMBORSI</w:t>
              </w:r>
            </w:hyperlink>
          </w:p>
        </w:tc>
        <w:tc>
          <w:tcPr>
            <w:tcW w:w="3497" w:type="dxa"/>
          </w:tcPr>
          <w:p w:rsidR="00ED7A02" w:rsidRDefault="00F37405" w:rsidP="00F37405">
            <w:pPr>
              <w:jc w:val="center"/>
            </w:pPr>
            <w:hyperlink r:id="rId9" w:history="1">
              <w:r w:rsidRPr="00F37405">
                <w:rPr>
                  <w:rStyle w:val="Collegamentoipertestuale"/>
                </w:rPr>
                <w:t>MANIFESTAZIONE DI INTERESSE (</w:t>
              </w:r>
              <w:proofErr w:type="gramStart"/>
              <w:r w:rsidRPr="00F37405">
                <w:rPr>
                  <w:rStyle w:val="Collegamentoipertestuale"/>
                </w:rPr>
                <w:t>.pdf</w:t>
              </w:r>
              <w:proofErr w:type="gramEnd"/>
              <w:r w:rsidRPr="00F37405">
                <w:rPr>
                  <w:rStyle w:val="Collegamentoipertestuale"/>
                </w:rPr>
                <w:t>)</w:t>
              </w:r>
            </w:hyperlink>
          </w:p>
          <w:p w:rsidR="00F37405" w:rsidRPr="0093137B" w:rsidRDefault="00F37405" w:rsidP="00F37405">
            <w:pPr>
              <w:jc w:val="center"/>
            </w:pPr>
            <w:hyperlink r:id="rId10" w:history="1">
              <w:r w:rsidRPr="00F37405">
                <w:rPr>
                  <w:rStyle w:val="Collegamentoipertestuale"/>
                </w:rPr>
                <w:t xml:space="preserve">MANIFESTAZIONE DI INTERESSE </w:t>
              </w:r>
              <w:proofErr w:type="gramStart"/>
              <w:r w:rsidRPr="00F37405">
                <w:rPr>
                  <w:rStyle w:val="Collegamentoipertestuale"/>
                </w:rPr>
                <w:t>(</w:t>
              </w:r>
              <w:proofErr w:type="gramEnd"/>
              <w:r w:rsidRPr="00F37405">
                <w:rPr>
                  <w:rStyle w:val="Collegamentoipertestuale"/>
                </w:rPr>
                <w:t>.</w:t>
              </w:r>
              <w:proofErr w:type="gramStart"/>
              <w:r w:rsidRPr="00F37405">
                <w:rPr>
                  <w:rStyle w:val="Collegamentoipertestuale"/>
                </w:rPr>
                <w:t>docx</w:t>
              </w:r>
              <w:proofErr w:type="gramEnd"/>
              <w:r w:rsidRPr="00F37405">
                <w:rPr>
                  <w:rStyle w:val="Collegamentoipertestuale"/>
                </w:rPr>
                <w:t xml:space="preserve"> editabile)</w:t>
              </w:r>
            </w:hyperlink>
          </w:p>
        </w:tc>
        <w:tc>
          <w:tcPr>
            <w:tcW w:w="3497" w:type="dxa"/>
          </w:tcPr>
          <w:p w:rsidR="00ED7A02" w:rsidRPr="00D50E33" w:rsidRDefault="00D50E33" w:rsidP="0093137B">
            <w:pPr>
              <w:jc w:val="center"/>
              <w:rPr>
                <w:lang w:val="en-US"/>
              </w:rPr>
            </w:pPr>
            <w:hyperlink r:id="rId11" w:history="1">
              <w:r w:rsidRPr="00D50E33">
                <w:rPr>
                  <w:rStyle w:val="Collegamentoipertestuale"/>
                  <w:lang w:val="en-US"/>
                </w:rPr>
                <w:t>UNIPR STAFF MOBILITY AGREEMENT (.pdf)</w:t>
              </w:r>
            </w:hyperlink>
          </w:p>
          <w:p w:rsidR="00D50E33" w:rsidRPr="00D50E33" w:rsidRDefault="00D50E33" w:rsidP="0093137B">
            <w:pPr>
              <w:jc w:val="center"/>
              <w:rPr>
                <w:lang w:val="en-US"/>
              </w:rPr>
            </w:pPr>
            <w:hyperlink r:id="rId12" w:history="1">
              <w:r w:rsidRPr="00D50E33">
                <w:rPr>
                  <w:rStyle w:val="Collegamentoipertestuale"/>
                  <w:lang w:val="en-US"/>
                </w:rPr>
                <w:t>UNIPR STAFF MOBILITY AGREEMENT (.docx editabile)</w:t>
              </w:r>
            </w:hyperlink>
          </w:p>
        </w:tc>
      </w:tr>
    </w:tbl>
    <w:p w:rsidR="00ED7A02" w:rsidRPr="00D50E33" w:rsidRDefault="00ED7A02">
      <w:pPr>
        <w:rPr>
          <w:lang w:val="en-US"/>
        </w:rPr>
      </w:pPr>
    </w:p>
    <w:p w:rsidR="00ED7A02" w:rsidRDefault="00ED7A02" w:rsidP="000032CE">
      <w:pPr>
        <w:jc w:val="both"/>
      </w:pPr>
      <w:r>
        <w:t xml:space="preserve">La mobilità ERASMUS PLUS per insegnamento (STA) può essere svolta presso una delle Istituzioni partner dell’Ateneo </w:t>
      </w:r>
      <w:proofErr w:type="gramStart"/>
      <w:r>
        <w:t>di</w:t>
      </w:r>
      <w:proofErr w:type="gramEnd"/>
      <w:r>
        <w:t xml:space="preserve"> Parma, laddove l’attività di scambio sia espressamente prevista dall’accordo bilaterale in essere. Il candidato è tenuto a individuare autonomamente l</w:t>
      </w:r>
      <w:r>
        <w:rPr>
          <w:rFonts w:ascii="Arial" w:hAnsi="Arial" w:cs="Arial"/>
        </w:rPr>
        <w:t>′</w:t>
      </w:r>
      <w:r>
        <w:t xml:space="preserve">ente presso il quale intende svolgere l’attività </w:t>
      </w:r>
      <w:proofErr w:type="gramStart"/>
      <w:r>
        <w:t xml:space="preserve">di </w:t>
      </w:r>
      <w:proofErr w:type="gramEnd"/>
      <w:r>
        <w:t xml:space="preserve">insegnamento, e a prendere contatti con lo stesso per richiedere la disponibilità ad accoglierlo. Nell'ambito del Programma ERASMUS PLUS, è consentito al personale docente e non docente di usufruire di un periodo di formazione (STT) presso Istituti </w:t>
      </w:r>
      <w:proofErr w:type="gramStart"/>
      <w:r>
        <w:t xml:space="preserve">di </w:t>
      </w:r>
      <w:proofErr w:type="gramEnd"/>
      <w:r>
        <w:t>istruzione superiore titolari di EUC e/o presso imprese presenti in uno dei Paesi partecipanti al Programma. Questo tipo di mobilità (attraverso seminari, corsi, affiancamento, ecc.) mira al trasferimento di competenze, all’acquisizione di capacità pratiche e all’apprendimento di buone prassi da parte dei beneficiari.</w:t>
      </w:r>
    </w:p>
    <w:p w:rsidR="00ED7A02" w:rsidRDefault="00ED7A02" w:rsidP="0032741B">
      <w:pPr>
        <w:pStyle w:val="Titolo2"/>
        <w:pBdr>
          <w:bottom w:val="single" w:sz="4" w:space="1" w:color="auto"/>
        </w:pBdr>
      </w:pPr>
      <w:r w:rsidRPr="00F8140E">
        <w:t>Durata:</w:t>
      </w:r>
      <w:r w:rsidRPr="006826EE">
        <w:t xml:space="preserve"> </w:t>
      </w:r>
      <w:r>
        <w:tab/>
      </w:r>
      <w:r>
        <w:tab/>
      </w:r>
      <w:r>
        <w:tab/>
      </w:r>
    </w:p>
    <w:p w:rsidR="00ED7A02" w:rsidRPr="00B72715" w:rsidRDefault="00ED7A02" w:rsidP="006826EE">
      <w:pPr>
        <w:jc w:val="both"/>
      </w:pPr>
      <w:r w:rsidRPr="00B72715">
        <w:t xml:space="preserve">Da </w:t>
      </w:r>
      <w:proofErr w:type="gramStart"/>
      <w:smartTag w:uri="urn:schemas-microsoft-com:office:smarttags" w:element="metricconverter">
        <w:smartTagPr>
          <w:attr w:name="ProductID" w:val="2 a"/>
        </w:smartTagPr>
        <w:r w:rsidRPr="00B72715">
          <w:t>2</w:t>
        </w:r>
        <w:proofErr w:type="gramEnd"/>
        <w:r w:rsidRPr="00B72715">
          <w:t xml:space="preserve"> </w:t>
        </w:r>
        <w:r>
          <w:t>a</w:t>
        </w:r>
      </w:smartTag>
      <w:r>
        <w:t xml:space="preserve"> 60 gg, ESCLUSIVAMENTE </w:t>
      </w:r>
      <w:r w:rsidRPr="00B72715">
        <w:t xml:space="preserve">per fini di docenza </w:t>
      </w:r>
      <w:r>
        <w:t>avente un carico di lavoro pari a</w:t>
      </w:r>
      <w:r w:rsidRPr="00B72715">
        <w:t xml:space="preserve"> minimo 8 ore a settimana.</w:t>
      </w:r>
    </w:p>
    <w:p w:rsidR="00ED7A02" w:rsidRPr="00DF614C" w:rsidRDefault="00ED7A02" w:rsidP="0032741B">
      <w:pPr>
        <w:pStyle w:val="Titolo2"/>
        <w:pBdr>
          <w:bottom w:val="single" w:sz="4" w:space="1" w:color="auto"/>
        </w:pBdr>
      </w:pPr>
      <w:r w:rsidRPr="00DF614C">
        <w:t>Finalità</w:t>
      </w:r>
      <w:r>
        <w:t>:</w:t>
      </w:r>
    </w:p>
    <w:p w:rsidR="00ED7A02" w:rsidRDefault="00ED7A02" w:rsidP="006826EE">
      <w:pPr>
        <w:jc w:val="both"/>
      </w:pPr>
      <w:r>
        <w:t>I contributi per attività STA sono utilizzabili ESCLUSIVAMENTE per fini di docenza.</w:t>
      </w:r>
    </w:p>
    <w:p w:rsidR="00ED7A02" w:rsidRDefault="00ED7A02" w:rsidP="0032741B">
      <w:pPr>
        <w:pStyle w:val="Titolo2"/>
        <w:pBdr>
          <w:bottom w:val="single" w:sz="4" w:space="1" w:color="auto"/>
        </w:pBdr>
      </w:pPr>
      <w:r>
        <w:t>Ripartizione di Ateneo:</w:t>
      </w:r>
    </w:p>
    <w:p w:rsidR="00ED7A02" w:rsidRPr="00B72715" w:rsidRDefault="00ED7A02" w:rsidP="00CE517F">
      <w:pPr>
        <w:jc w:val="both"/>
      </w:pPr>
      <w:r w:rsidRPr="00B72715">
        <w:t xml:space="preserve">Il contratto 2015-1-IT02-KA103-014263 sottoscritto tra l’Agenzia Nazionale Erasmus Plus Italia e l’Università degli Studi di Parma attribuisce a quest’ultima, per l’a.a. 2015/2016, un contributo pari a € 22.334. I fondi disponibili saranno ripartiti tra i vari Dipartimenti dell’Ateneo sulla base delle manifestazioni </w:t>
      </w:r>
      <w:proofErr w:type="gramStart"/>
      <w:r w:rsidRPr="00B72715">
        <w:t xml:space="preserve">di </w:t>
      </w:r>
      <w:proofErr w:type="gramEnd"/>
      <w:r w:rsidRPr="00B72715">
        <w:t xml:space="preserve">interesse che saranno inviate dal personale docente e ricercatore di Ateneo entro il prossimo </w:t>
      </w:r>
      <w:r w:rsidRPr="00F37405">
        <w:rPr>
          <w:strike/>
        </w:rPr>
        <w:t>30 ottobre 2015</w:t>
      </w:r>
      <w:r w:rsidR="00F37405">
        <w:t xml:space="preserve"> </w:t>
      </w:r>
      <w:r w:rsidR="00F37405" w:rsidRPr="00F37405">
        <w:rPr>
          <w:b/>
        </w:rPr>
        <w:t>6 novembre 2015</w:t>
      </w:r>
      <w:r w:rsidRPr="00B72715">
        <w:t>.</w:t>
      </w:r>
    </w:p>
    <w:p w:rsidR="00ED7A02" w:rsidRPr="00B72715" w:rsidRDefault="00ED7A02" w:rsidP="00CE517F">
      <w:pPr>
        <w:jc w:val="both"/>
      </w:pPr>
      <w:r w:rsidRPr="00B72715">
        <w:t>Modalità di attribuzione:</w:t>
      </w:r>
    </w:p>
    <w:p w:rsidR="00ED7A02" w:rsidRPr="00B72715" w:rsidRDefault="00ED7A02" w:rsidP="000D158F">
      <w:pPr>
        <w:pStyle w:val="Paragrafoelenco"/>
        <w:numPr>
          <w:ilvl w:val="0"/>
          <w:numId w:val="5"/>
        </w:numPr>
        <w:jc w:val="both"/>
      </w:pPr>
      <w:r w:rsidRPr="00B72715">
        <w:t>ciascun docente dovrà far pervenire via mail alla UOS Internazionalizzazione (</w:t>
      </w:r>
      <w:hyperlink r:id="rId13" w:history="1">
        <w:r w:rsidRPr="00B72715">
          <w:t>relint@unipr.it</w:t>
        </w:r>
      </w:hyperlink>
      <w:r w:rsidRPr="00B72715">
        <w:t xml:space="preserve">) la propria manifestazione d’interesse ad effettuare la mobilità, entro e non oltre il </w:t>
      </w:r>
      <w:r w:rsidRPr="00F37405">
        <w:rPr>
          <w:strike/>
        </w:rPr>
        <w:t>30 ottobre 2015</w:t>
      </w:r>
      <w:r w:rsidR="00F37405">
        <w:t xml:space="preserve"> </w:t>
      </w:r>
      <w:r w:rsidR="00F37405" w:rsidRPr="00F37405">
        <w:rPr>
          <w:b/>
        </w:rPr>
        <w:t>6 novembre 2015</w:t>
      </w:r>
      <w:r w:rsidRPr="00B72715">
        <w:t xml:space="preserve"> nel format incluso nel presente documento;</w:t>
      </w:r>
    </w:p>
    <w:p w:rsidR="00ED7A02" w:rsidRPr="00B72715" w:rsidRDefault="00ED7A02" w:rsidP="000D158F">
      <w:pPr>
        <w:pStyle w:val="Paragrafoelenco"/>
        <w:numPr>
          <w:ilvl w:val="0"/>
          <w:numId w:val="5"/>
        </w:numPr>
        <w:jc w:val="both"/>
      </w:pPr>
      <w:smartTag w:uri="urn:schemas-microsoft-com:office:smarttags" w:element="PersonName">
        <w:smartTagPr>
          <w:attr w:name="ProductID" w:val="la UOS Internazionalizzazione"/>
        </w:smartTagPr>
        <w:r w:rsidRPr="00B72715">
          <w:t>la UOS Internazionalizzazione</w:t>
        </w:r>
      </w:smartTag>
      <w:r w:rsidRPr="00B72715">
        <w:t xml:space="preserve"> invierà al Direttore del Dipartimento di riferimento le manifestazioni d’interesse per identificare le mobilità che si svolgeranno in base al numero ed al contributo assegnato;</w:t>
      </w:r>
    </w:p>
    <w:p w:rsidR="00ED7A02" w:rsidRPr="00B72715" w:rsidRDefault="00ED7A02" w:rsidP="000D158F">
      <w:pPr>
        <w:pStyle w:val="Paragrafoelenco"/>
        <w:numPr>
          <w:ilvl w:val="0"/>
          <w:numId w:val="5"/>
        </w:numPr>
        <w:jc w:val="both"/>
      </w:pPr>
      <w:r w:rsidRPr="00B72715">
        <w:t>il Direttore comunicherà via mail alla UOS Internazionalizzazione (</w:t>
      </w:r>
      <w:hyperlink r:id="rId14" w:history="1">
        <w:r w:rsidRPr="00B72715">
          <w:t>relint@unipr.it</w:t>
        </w:r>
      </w:hyperlink>
      <w:r w:rsidRPr="00B72715">
        <w:t xml:space="preserve">) l’elenco delle mobilità scelte, entro e non oltre il </w:t>
      </w:r>
      <w:r w:rsidRPr="00F37405">
        <w:rPr>
          <w:strike/>
        </w:rPr>
        <w:t>15</w:t>
      </w:r>
      <w:r w:rsidRPr="00B72715">
        <w:t xml:space="preserve"> </w:t>
      </w:r>
      <w:r w:rsidR="00F37405" w:rsidRPr="00F37405">
        <w:rPr>
          <w:b/>
        </w:rPr>
        <w:t xml:space="preserve">20 </w:t>
      </w:r>
      <w:r w:rsidRPr="00F37405">
        <w:rPr>
          <w:b/>
        </w:rPr>
        <w:t>novembre 2015</w:t>
      </w:r>
      <w:r w:rsidRPr="00B72715">
        <w:t xml:space="preserve"> nel format incluso nel presente documento.</w:t>
      </w:r>
    </w:p>
    <w:p w:rsidR="00ED7A02" w:rsidRPr="00B72715" w:rsidRDefault="00ED7A02" w:rsidP="00A67FC5">
      <w:pPr>
        <w:pStyle w:val="Paragrafoelenco"/>
        <w:ind w:left="0"/>
        <w:jc w:val="both"/>
      </w:pPr>
      <w:r w:rsidRPr="00B72715">
        <w:t>La ripartizione di eventuali flussi di mobilità non assegnati avverrà sulla base delle manifestazioni d’interesse pervenute. Dai contributi massimi sopra indicati sono esclusi interventi finanziari direttamente imputabili ai budget dei Dipartimenti.</w:t>
      </w:r>
    </w:p>
    <w:p w:rsidR="00ED7A02" w:rsidRDefault="00ED7A02" w:rsidP="00A67FC5">
      <w:pPr>
        <w:pStyle w:val="Titolo2"/>
        <w:pBdr>
          <w:bottom w:val="single" w:sz="4" w:space="1" w:color="auto"/>
        </w:pBdr>
      </w:pPr>
      <w:r w:rsidRPr="00F8140E">
        <w:lastRenderedPageBreak/>
        <w:t>Modalità di utilizzo:</w:t>
      </w:r>
      <w:r>
        <w:tab/>
      </w:r>
    </w:p>
    <w:p w:rsidR="00ED7A02" w:rsidRDefault="00ED7A02" w:rsidP="00AD0758">
      <w:pPr>
        <w:jc w:val="both"/>
      </w:pPr>
      <w:smartTag w:uri="urn:schemas-microsoft-com:office:smarttags" w:element="PersonName">
        <w:smartTagPr>
          <w:attr w:name="ProductID" w:val="la UOS Internazionalizzazione"/>
        </w:smartTagPr>
        <w:r>
          <w:t>La UE</w:t>
        </w:r>
      </w:smartTag>
      <w:r>
        <w:t xml:space="preserve"> ha cessato l’utilizzo dei fondi STA sotto forma di numero predeterminato di flussi, invitando gli Atenei ad un loro utilizzo secondo principi autonomi, seppur nel rispetto di regole comunitarie non comunque derogabili.</w:t>
      </w:r>
    </w:p>
    <w:p w:rsidR="00ED7A02" w:rsidRDefault="00ED7A02" w:rsidP="00AD0758">
      <w:pPr>
        <w:jc w:val="both"/>
      </w:pPr>
      <w:r>
        <w:t>A tal fine, si forniscono le seguenti indicazioni prioritarie:</w:t>
      </w:r>
    </w:p>
    <w:p w:rsidR="00ED7A02" w:rsidRDefault="00ED7A02" w:rsidP="00AD0758">
      <w:pPr>
        <w:pStyle w:val="Paragrafoelenco"/>
        <w:numPr>
          <w:ilvl w:val="0"/>
          <w:numId w:val="1"/>
        </w:numPr>
        <w:ind w:left="851" w:hanging="284"/>
        <w:jc w:val="both"/>
      </w:pPr>
      <w:r>
        <w:t>è consentito un computo massimo di n. 2 giorni di viaggio;</w:t>
      </w:r>
    </w:p>
    <w:p w:rsidR="00ED7A02" w:rsidRDefault="00ED7A02" w:rsidP="00AD0758">
      <w:pPr>
        <w:pStyle w:val="Paragrafoelenco"/>
        <w:numPr>
          <w:ilvl w:val="0"/>
          <w:numId w:val="1"/>
        </w:numPr>
        <w:ind w:left="851" w:hanging="284"/>
        <w:jc w:val="both"/>
      </w:pPr>
      <w:r>
        <w:t>i giorni di viaggio devono essere immediatamente antecedenti e successivi all’inizio ed alla fine dell’attività STA;</w:t>
      </w:r>
    </w:p>
    <w:p w:rsidR="00ED7A02" w:rsidRDefault="00ED7A02" w:rsidP="00AD0758">
      <w:pPr>
        <w:pStyle w:val="Paragrafoelenco"/>
        <w:numPr>
          <w:ilvl w:val="0"/>
          <w:numId w:val="1"/>
        </w:numPr>
        <w:ind w:left="851" w:hanging="284"/>
        <w:jc w:val="both"/>
      </w:pPr>
      <w:r>
        <w:t>i rimborsi di missione, sia con rimborso a piè di lista che con “trattamento alternativo” non potranno superare in alcun modo i massimali indicati nelle tabelle successive e, prioritariamente, i massimi rimborsi previsto dal Dipartimento di afferenza per il flusso previsto (vd. voce “Ripartizione di Ateneo”);</w:t>
      </w:r>
    </w:p>
    <w:p w:rsidR="00ED7A02" w:rsidRDefault="00ED7A02" w:rsidP="00AD0758">
      <w:pPr>
        <w:pStyle w:val="Paragrafoelenco"/>
        <w:numPr>
          <w:ilvl w:val="0"/>
          <w:numId w:val="1"/>
        </w:numPr>
        <w:ind w:left="851" w:hanging="284"/>
        <w:jc w:val="both"/>
      </w:pPr>
      <w:r>
        <w:t>si rammenta che, qualora il Dipartimento optasse per concorrere finanziariamente alla spesa relativa al flusso, è contabilmente possibile imputare i costi di missione su due voci di budget differenti.</w:t>
      </w:r>
    </w:p>
    <w:p w:rsidR="00ED7A02" w:rsidRPr="00F8140E" w:rsidRDefault="00ED7A02" w:rsidP="00A67FC5">
      <w:pPr>
        <w:pStyle w:val="Titolo2"/>
        <w:pBdr>
          <w:bottom w:val="single" w:sz="4" w:space="1" w:color="auto"/>
        </w:pBdr>
      </w:pPr>
      <w:r w:rsidRPr="00F8140E">
        <w:t>Spese di viaggio:</w:t>
      </w:r>
    </w:p>
    <w:p w:rsidR="00ED7A02" w:rsidRDefault="00ED7A02" w:rsidP="00AD0758">
      <w:pPr>
        <w:pStyle w:val="Paragrafoelenco"/>
        <w:numPr>
          <w:ilvl w:val="0"/>
          <w:numId w:val="2"/>
        </w:numPr>
        <w:ind w:left="851" w:hanging="284"/>
        <w:jc w:val="both"/>
      </w:pPr>
      <w:r>
        <w:t xml:space="preserve">La distanza tra la sede di partenza e la sede di destinazione è calcolata dal sistema informatico “Distance Calculator” disponibile al link: </w:t>
      </w:r>
      <w:hyperlink r:id="rId15" w:history="1">
        <w:r w:rsidRPr="00C958BF">
          <w:rPr>
            <w:rStyle w:val="Collegamentoipertestuale"/>
          </w:rPr>
          <w:t>http://ec.europa.eu/programmes/erasmus-plus/tools/distance_en.htm</w:t>
        </w:r>
      </w:hyperlink>
    </w:p>
    <w:p w:rsidR="00ED7A02" w:rsidRDefault="00ED7A02" w:rsidP="00AD0758">
      <w:pPr>
        <w:pStyle w:val="Paragrafoelenco"/>
        <w:numPr>
          <w:ilvl w:val="0"/>
          <w:numId w:val="2"/>
        </w:numPr>
        <w:ind w:left="851" w:hanging="284"/>
        <w:jc w:val="both"/>
      </w:pPr>
      <w:r>
        <w:t>In base alla risultanza chilometrica ottenuta, si applicano i seguenti massimali A/R di rimborso (non forfettario, ma dietro presentazione delle pezze giustificative attestanti la spesa realmente sostenuta):</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2835"/>
      </w:tblGrid>
      <w:tr w:rsidR="00ED7A02" w:rsidTr="00F71256">
        <w:tc>
          <w:tcPr>
            <w:tcW w:w="2977" w:type="dxa"/>
            <w:vAlign w:val="center"/>
          </w:tcPr>
          <w:p w:rsidR="00ED7A02" w:rsidRPr="00F71256" w:rsidRDefault="00ED7A02" w:rsidP="00F71256">
            <w:pPr>
              <w:pStyle w:val="Paragrafoelenco"/>
              <w:ind w:left="0"/>
              <w:jc w:val="center"/>
              <w:rPr>
                <w:b/>
                <w:sz w:val="20"/>
                <w:szCs w:val="20"/>
              </w:rPr>
            </w:pPr>
            <w:r w:rsidRPr="00F71256">
              <w:rPr>
                <w:b/>
                <w:sz w:val="20"/>
                <w:szCs w:val="20"/>
              </w:rPr>
              <w:t>KM</w:t>
            </w:r>
          </w:p>
        </w:tc>
        <w:tc>
          <w:tcPr>
            <w:tcW w:w="2835" w:type="dxa"/>
            <w:vAlign w:val="center"/>
          </w:tcPr>
          <w:p w:rsidR="00ED7A02" w:rsidRPr="00F71256" w:rsidRDefault="00ED7A02" w:rsidP="00F71256">
            <w:pPr>
              <w:pStyle w:val="Paragrafoelenco"/>
              <w:ind w:left="0"/>
              <w:jc w:val="center"/>
              <w:rPr>
                <w:b/>
                <w:sz w:val="20"/>
                <w:szCs w:val="20"/>
              </w:rPr>
            </w:pPr>
            <w:r w:rsidRPr="00F71256">
              <w:rPr>
                <w:b/>
                <w:sz w:val="20"/>
                <w:szCs w:val="20"/>
              </w:rPr>
              <w:t>Euro</w:t>
            </w:r>
          </w:p>
        </w:tc>
      </w:tr>
      <w:tr w:rsidR="00ED7A02" w:rsidTr="00F71256">
        <w:tc>
          <w:tcPr>
            <w:tcW w:w="2977" w:type="dxa"/>
            <w:vAlign w:val="center"/>
          </w:tcPr>
          <w:p w:rsidR="00ED7A02" w:rsidRPr="00F71256" w:rsidRDefault="00ED7A02" w:rsidP="00F71256">
            <w:pPr>
              <w:pStyle w:val="Paragrafoelenco"/>
              <w:ind w:left="0"/>
              <w:jc w:val="center"/>
              <w:rPr>
                <w:b/>
                <w:sz w:val="20"/>
                <w:szCs w:val="20"/>
              </w:rPr>
            </w:pPr>
            <w:r w:rsidRPr="00F71256">
              <w:rPr>
                <w:sz w:val="20"/>
                <w:szCs w:val="20"/>
              </w:rPr>
              <w:t>0-99</w:t>
            </w:r>
          </w:p>
        </w:tc>
        <w:tc>
          <w:tcPr>
            <w:tcW w:w="2835" w:type="dxa"/>
            <w:vAlign w:val="center"/>
          </w:tcPr>
          <w:p w:rsidR="00ED7A02" w:rsidRPr="00F71256" w:rsidRDefault="00ED7A02" w:rsidP="00F71256">
            <w:pPr>
              <w:pStyle w:val="Paragrafoelenco"/>
              <w:ind w:left="0"/>
              <w:jc w:val="center"/>
              <w:rPr>
                <w:sz w:val="20"/>
                <w:szCs w:val="20"/>
              </w:rPr>
            </w:pPr>
            <w:r w:rsidRPr="00F71256">
              <w:rPr>
                <w:sz w:val="20"/>
                <w:szCs w:val="20"/>
              </w:rPr>
              <w:t>0</w:t>
            </w:r>
          </w:p>
        </w:tc>
      </w:tr>
      <w:tr w:rsidR="00ED7A02" w:rsidTr="00F71256">
        <w:tc>
          <w:tcPr>
            <w:tcW w:w="2977" w:type="dxa"/>
            <w:vAlign w:val="center"/>
          </w:tcPr>
          <w:p w:rsidR="00ED7A02" w:rsidRPr="00F71256" w:rsidRDefault="00ED7A02" w:rsidP="00F71256">
            <w:pPr>
              <w:pStyle w:val="Paragrafoelenco"/>
              <w:ind w:left="0"/>
              <w:jc w:val="center"/>
              <w:rPr>
                <w:b/>
                <w:sz w:val="20"/>
                <w:szCs w:val="20"/>
              </w:rPr>
            </w:pPr>
            <w:r w:rsidRPr="00F71256">
              <w:rPr>
                <w:sz w:val="20"/>
                <w:szCs w:val="20"/>
              </w:rPr>
              <w:t>100-499</w:t>
            </w:r>
          </w:p>
        </w:tc>
        <w:tc>
          <w:tcPr>
            <w:tcW w:w="2835" w:type="dxa"/>
            <w:vAlign w:val="center"/>
          </w:tcPr>
          <w:p w:rsidR="00ED7A02" w:rsidRPr="00F71256" w:rsidRDefault="00ED7A02" w:rsidP="00F71256">
            <w:pPr>
              <w:pStyle w:val="Paragrafoelenco"/>
              <w:ind w:left="0"/>
              <w:jc w:val="center"/>
              <w:rPr>
                <w:sz w:val="20"/>
                <w:szCs w:val="20"/>
              </w:rPr>
            </w:pPr>
            <w:r w:rsidRPr="00F71256">
              <w:rPr>
                <w:sz w:val="20"/>
                <w:szCs w:val="20"/>
              </w:rPr>
              <w:t>180</w:t>
            </w:r>
          </w:p>
        </w:tc>
      </w:tr>
      <w:tr w:rsidR="00ED7A02" w:rsidTr="00F71256">
        <w:tc>
          <w:tcPr>
            <w:tcW w:w="2977" w:type="dxa"/>
            <w:vAlign w:val="center"/>
          </w:tcPr>
          <w:p w:rsidR="00ED7A02" w:rsidRPr="00F71256" w:rsidRDefault="00ED7A02" w:rsidP="00F71256">
            <w:pPr>
              <w:pStyle w:val="Paragrafoelenco"/>
              <w:ind w:left="0"/>
              <w:jc w:val="center"/>
              <w:rPr>
                <w:b/>
                <w:sz w:val="20"/>
                <w:szCs w:val="20"/>
              </w:rPr>
            </w:pPr>
            <w:r w:rsidRPr="00F71256">
              <w:rPr>
                <w:sz w:val="20"/>
                <w:szCs w:val="20"/>
              </w:rPr>
              <w:t>500-1900</w:t>
            </w:r>
          </w:p>
        </w:tc>
        <w:tc>
          <w:tcPr>
            <w:tcW w:w="2835" w:type="dxa"/>
            <w:vAlign w:val="center"/>
          </w:tcPr>
          <w:p w:rsidR="00ED7A02" w:rsidRPr="00F71256" w:rsidRDefault="00ED7A02" w:rsidP="00F71256">
            <w:pPr>
              <w:pStyle w:val="Paragrafoelenco"/>
              <w:ind w:left="0"/>
              <w:jc w:val="center"/>
              <w:rPr>
                <w:sz w:val="20"/>
                <w:szCs w:val="20"/>
              </w:rPr>
            </w:pPr>
            <w:r w:rsidRPr="00F71256">
              <w:rPr>
                <w:sz w:val="20"/>
                <w:szCs w:val="20"/>
              </w:rPr>
              <w:t>275</w:t>
            </w:r>
          </w:p>
        </w:tc>
      </w:tr>
      <w:tr w:rsidR="00ED7A02" w:rsidTr="00F71256">
        <w:tc>
          <w:tcPr>
            <w:tcW w:w="2977" w:type="dxa"/>
            <w:vAlign w:val="center"/>
          </w:tcPr>
          <w:p w:rsidR="00ED7A02" w:rsidRPr="00F71256" w:rsidRDefault="00ED7A02" w:rsidP="00F71256">
            <w:pPr>
              <w:pStyle w:val="Paragrafoelenco"/>
              <w:ind w:left="0"/>
              <w:jc w:val="center"/>
              <w:rPr>
                <w:b/>
                <w:sz w:val="20"/>
                <w:szCs w:val="20"/>
              </w:rPr>
            </w:pPr>
            <w:r w:rsidRPr="00F71256">
              <w:rPr>
                <w:sz w:val="20"/>
                <w:szCs w:val="20"/>
              </w:rPr>
              <w:t>2000-2999</w:t>
            </w:r>
          </w:p>
        </w:tc>
        <w:tc>
          <w:tcPr>
            <w:tcW w:w="2835" w:type="dxa"/>
            <w:vAlign w:val="center"/>
          </w:tcPr>
          <w:p w:rsidR="00ED7A02" w:rsidRPr="00F71256" w:rsidRDefault="00ED7A02" w:rsidP="00F71256">
            <w:pPr>
              <w:pStyle w:val="Paragrafoelenco"/>
              <w:ind w:left="0"/>
              <w:jc w:val="center"/>
              <w:rPr>
                <w:sz w:val="20"/>
                <w:szCs w:val="20"/>
              </w:rPr>
            </w:pPr>
            <w:r w:rsidRPr="00F71256">
              <w:rPr>
                <w:sz w:val="20"/>
                <w:szCs w:val="20"/>
              </w:rPr>
              <w:t>360</w:t>
            </w:r>
          </w:p>
        </w:tc>
      </w:tr>
      <w:tr w:rsidR="00ED7A02" w:rsidTr="00F71256">
        <w:tc>
          <w:tcPr>
            <w:tcW w:w="2977" w:type="dxa"/>
            <w:vAlign w:val="center"/>
          </w:tcPr>
          <w:p w:rsidR="00ED7A02" w:rsidRPr="00F71256" w:rsidRDefault="00ED7A02" w:rsidP="00F71256">
            <w:pPr>
              <w:pStyle w:val="Paragrafoelenco"/>
              <w:ind w:left="0"/>
              <w:jc w:val="center"/>
              <w:rPr>
                <w:b/>
                <w:sz w:val="20"/>
                <w:szCs w:val="20"/>
              </w:rPr>
            </w:pPr>
            <w:r w:rsidRPr="00F71256">
              <w:rPr>
                <w:sz w:val="20"/>
                <w:szCs w:val="20"/>
              </w:rPr>
              <w:t>3000-3999</w:t>
            </w:r>
          </w:p>
        </w:tc>
        <w:tc>
          <w:tcPr>
            <w:tcW w:w="2835" w:type="dxa"/>
            <w:vAlign w:val="center"/>
          </w:tcPr>
          <w:p w:rsidR="00ED7A02" w:rsidRPr="00F71256" w:rsidRDefault="00ED7A02" w:rsidP="00F71256">
            <w:pPr>
              <w:pStyle w:val="Paragrafoelenco"/>
              <w:ind w:left="0"/>
              <w:jc w:val="center"/>
              <w:rPr>
                <w:sz w:val="20"/>
                <w:szCs w:val="20"/>
              </w:rPr>
            </w:pPr>
            <w:r w:rsidRPr="00F71256">
              <w:rPr>
                <w:sz w:val="20"/>
                <w:szCs w:val="20"/>
              </w:rPr>
              <w:t>530</w:t>
            </w:r>
          </w:p>
        </w:tc>
      </w:tr>
      <w:tr w:rsidR="00ED7A02" w:rsidTr="00F71256">
        <w:tc>
          <w:tcPr>
            <w:tcW w:w="2977" w:type="dxa"/>
            <w:vAlign w:val="center"/>
          </w:tcPr>
          <w:p w:rsidR="00ED7A02" w:rsidRPr="00F71256" w:rsidRDefault="00ED7A02" w:rsidP="00F71256">
            <w:pPr>
              <w:pStyle w:val="Paragrafoelenco"/>
              <w:ind w:left="0"/>
              <w:jc w:val="center"/>
              <w:rPr>
                <w:b/>
                <w:sz w:val="20"/>
                <w:szCs w:val="20"/>
              </w:rPr>
            </w:pPr>
            <w:r w:rsidRPr="00F71256">
              <w:rPr>
                <w:sz w:val="20"/>
                <w:szCs w:val="20"/>
              </w:rPr>
              <w:t>4000-7999</w:t>
            </w:r>
          </w:p>
        </w:tc>
        <w:tc>
          <w:tcPr>
            <w:tcW w:w="2835" w:type="dxa"/>
            <w:vAlign w:val="center"/>
          </w:tcPr>
          <w:p w:rsidR="00ED7A02" w:rsidRPr="00F71256" w:rsidRDefault="00ED7A02" w:rsidP="00F71256">
            <w:pPr>
              <w:pStyle w:val="Paragrafoelenco"/>
              <w:ind w:left="0"/>
              <w:jc w:val="center"/>
              <w:rPr>
                <w:sz w:val="20"/>
                <w:szCs w:val="20"/>
              </w:rPr>
            </w:pPr>
            <w:r w:rsidRPr="00F71256">
              <w:rPr>
                <w:sz w:val="20"/>
                <w:szCs w:val="20"/>
              </w:rPr>
              <w:t>820</w:t>
            </w:r>
          </w:p>
        </w:tc>
      </w:tr>
      <w:tr w:rsidR="00ED7A02" w:rsidTr="00F71256">
        <w:tc>
          <w:tcPr>
            <w:tcW w:w="2977" w:type="dxa"/>
            <w:vAlign w:val="center"/>
          </w:tcPr>
          <w:p w:rsidR="00ED7A02" w:rsidRPr="00F71256" w:rsidRDefault="00ED7A02" w:rsidP="00F71256">
            <w:pPr>
              <w:pStyle w:val="Paragrafoelenco"/>
              <w:ind w:left="0"/>
              <w:jc w:val="center"/>
              <w:rPr>
                <w:sz w:val="20"/>
                <w:szCs w:val="20"/>
              </w:rPr>
            </w:pPr>
            <w:r w:rsidRPr="00F71256">
              <w:rPr>
                <w:sz w:val="20"/>
                <w:szCs w:val="20"/>
              </w:rPr>
              <w:t>8000-19999</w:t>
            </w:r>
          </w:p>
        </w:tc>
        <w:tc>
          <w:tcPr>
            <w:tcW w:w="2835" w:type="dxa"/>
            <w:vAlign w:val="center"/>
          </w:tcPr>
          <w:p w:rsidR="00ED7A02" w:rsidRPr="00F71256" w:rsidRDefault="00ED7A02" w:rsidP="00F71256">
            <w:pPr>
              <w:pStyle w:val="Paragrafoelenco"/>
              <w:ind w:left="0"/>
              <w:jc w:val="center"/>
              <w:rPr>
                <w:sz w:val="20"/>
                <w:szCs w:val="20"/>
              </w:rPr>
            </w:pPr>
            <w:r w:rsidRPr="00F71256">
              <w:rPr>
                <w:sz w:val="20"/>
                <w:szCs w:val="20"/>
              </w:rPr>
              <w:t>1100</w:t>
            </w:r>
          </w:p>
        </w:tc>
      </w:tr>
    </w:tbl>
    <w:p w:rsidR="00ED7A02" w:rsidRPr="00AD0758" w:rsidRDefault="00ED7A02" w:rsidP="00B72715">
      <w:pPr>
        <w:pStyle w:val="Titolo2"/>
        <w:pBdr>
          <w:bottom w:val="single" w:sz="4" w:space="1" w:color="auto"/>
        </w:pBdr>
      </w:pPr>
      <w:r w:rsidRPr="00AD0758">
        <w:t>Spese di vitto e alloggio:</w:t>
      </w:r>
      <w:r w:rsidRPr="00AD0758">
        <w:tab/>
      </w:r>
    </w:p>
    <w:p w:rsidR="00ED7A02" w:rsidRDefault="00ED7A02" w:rsidP="000F661C">
      <w:pPr>
        <w:jc w:val="both"/>
      </w:pPr>
      <w:r>
        <w:t>Relativamente al rimborso dei costi di soggiorno (vitto, alloggio, trasporti locali, etc.), si applica quanto previsto dal Regolamento di Ateneo per missioni e rimborsi spese. Sia in caso di scelta dell’opzione di rimborso a “pié di lista” che di scelta del trattamento alternativo (Art. 12 del Regolamento), NON è comunque consentito il superamento dei massimali (netti) di seguito indicati: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3134"/>
        <w:gridCol w:w="3134"/>
      </w:tblGrid>
      <w:tr w:rsidR="00ED7A02" w:rsidRPr="0093137B" w:rsidTr="00B72715">
        <w:tc>
          <w:tcPr>
            <w:tcW w:w="3510" w:type="dxa"/>
            <w:vMerge w:val="restart"/>
            <w:shd w:val="clear" w:color="auto" w:fill="FFFF00"/>
            <w:vAlign w:val="center"/>
          </w:tcPr>
          <w:p w:rsidR="00ED7A02" w:rsidRPr="0093137B" w:rsidRDefault="00ED7A02" w:rsidP="0093137B">
            <w:pPr>
              <w:jc w:val="center"/>
              <w:rPr>
                <w:b/>
              </w:rPr>
            </w:pPr>
            <w:r w:rsidRPr="0093137B">
              <w:rPr>
                <w:b/>
              </w:rPr>
              <w:t>PAESE DI DESTINAZIONE</w:t>
            </w:r>
          </w:p>
        </w:tc>
        <w:tc>
          <w:tcPr>
            <w:tcW w:w="6268" w:type="dxa"/>
            <w:gridSpan w:val="2"/>
            <w:shd w:val="clear" w:color="auto" w:fill="FFFF00"/>
          </w:tcPr>
          <w:p w:rsidR="00ED7A02" w:rsidRPr="0093137B" w:rsidRDefault="00ED7A02" w:rsidP="0093137B">
            <w:pPr>
              <w:jc w:val="center"/>
              <w:rPr>
                <w:b/>
              </w:rPr>
            </w:pPr>
            <w:r w:rsidRPr="0093137B">
              <w:rPr>
                <w:b/>
              </w:rPr>
              <w:t>TARIFFE GIORNALIERE</w:t>
            </w:r>
          </w:p>
        </w:tc>
      </w:tr>
      <w:tr w:rsidR="00ED7A02" w:rsidRPr="0093137B" w:rsidTr="00B72715">
        <w:tc>
          <w:tcPr>
            <w:tcW w:w="3510" w:type="dxa"/>
            <w:vMerge/>
          </w:tcPr>
          <w:p w:rsidR="00ED7A02" w:rsidRPr="0093137B" w:rsidRDefault="00ED7A02" w:rsidP="0093137B">
            <w:pPr>
              <w:jc w:val="both"/>
            </w:pPr>
          </w:p>
        </w:tc>
        <w:tc>
          <w:tcPr>
            <w:tcW w:w="3134" w:type="dxa"/>
            <w:shd w:val="clear" w:color="auto" w:fill="FFC000"/>
          </w:tcPr>
          <w:p w:rsidR="00ED7A02" w:rsidRPr="0093137B" w:rsidRDefault="00ED7A02" w:rsidP="0093137B">
            <w:pPr>
              <w:jc w:val="center"/>
              <w:rPr>
                <w:b/>
              </w:rPr>
            </w:pPr>
            <w:r w:rsidRPr="0093137B">
              <w:rPr>
                <w:b/>
              </w:rPr>
              <w:t>DAL GIORNO 1 al GIORNO 14</w:t>
            </w:r>
          </w:p>
        </w:tc>
        <w:tc>
          <w:tcPr>
            <w:tcW w:w="3134" w:type="dxa"/>
            <w:shd w:val="clear" w:color="auto" w:fill="FFC000"/>
          </w:tcPr>
          <w:p w:rsidR="00ED7A02" w:rsidRPr="0093137B" w:rsidRDefault="00ED7A02" w:rsidP="0093137B">
            <w:pPr>
              <w:jc w:val="center"/>
              <w:rPr>
                <w:b/>
              </w:rPr>
            </w:pPr>
            <w:r w:rsidRPr="0093137B">
              <w:rPr>
                <w:b/>
              </w:rPr>
              <w:t>DAL GIORNO 15 al GIORNO 60</w:t>
            </w:r>
          </w:p>
        </w:tc>
      </w:tr>
      <w:tr w:rsidR="00ED7A02" w:rsidRPr="0093137B" w:rsidTr="00B72715">
        <w:tc>
          <w:tcPr>
            <w:tcW w:w="3510" w:type="dxa"/>
          </w:tcPr>
          <w:p w:rsidR="00ED7A02" w:rsidRPr="00B72715" w:rsidRDefault="00ED7A02" w:rsidP="0093137B">
            <w:pPr>
              <w:jc w:val="both"/>
              <w:rPr>
                <w:sz w:val="18"/>
                <w:szCs w:val="18"/>
              </w:rPr>
            </w:pPr>
            <w:r w:rsidRPr="00B72715">
              <w:rPr>
                <w:sz w:val="18"/>
                <w:szCs w:val="18"/>
              </w:rPr>
              <w:t>Danimarca, Irlanda, Olanda, Svezia, Gran Bretagna</w:t>
            </w:r>
          </w:p>
        </w:tc>
        <w:tc>
          <w:tcPr>
            <w:tcW w:w="3134" w:type="dxa"/>
            <w:vAlign w:val="center"/>
          </w:tcPr>
          <w:p w:rsidR="00ED7A02" w:rsidRPr="00B72715" w:rsidRDefault="00ED7A02" w:rsidP="0093137B">
            <w:pPr>
              <w:jc w:val="center"/>
              <w:rPr>
                <w:b/>
              </w:rPr>
            </w:pPr>
            <w:r w:rsidRPr="00B72715">
              <w:rPr>
                <w:b/>
              </w:rPr>
              <w:t>€ 128,00</w:t>
            </w:r>
          </w:p>
        </w:tc>
        <w:tc>
          <w:tcPr>
            <w:tcW w:w="3134" w:type="dxa"/>
            <w:vAlign w:val="center"/>
          </w:tcPr>
          <w:p w:rsidR="00ED7A02" w:rsidRPr="00B72715" w:rsidRDefault="00ED7A02" w:rsidP="0093137B">
            <w:pPr>
              <w:jc w:val="center"/>
              <w:rPr>
                <w:b/>
              </w:rPr>
            </w:pPr>
            <w:r w:rsidRPr="00B72715">
              <w:rPr>
                <w:b/>
              </w:rPr>
              <w:t>€ 89,60</w:t>
            </w:r>
          </w:p>
        </w:tc>
      </w:tr>
      <w:tr w:rsidR="00ED7A02" w:rsidRPr="0093137B" w:rsidTr="00B72715">
        <w:tc>
          <w:tcPr>
            <w:tcW w:w="3510" w:type="dxa"/>
          </w:tcPr>
          <w:p w:rsidR="00ED7A02" w:rsidRPr="00B72715" w:rsidRDefault="00ED7A02" w:rsidP="0093137B">
            <w:pPr>
              <w:jc w:val="both"/>
              <w:rPr>
                <w:sz w:val="18"/>
                <w:szCs w:val="18"/>
              </w:rPr>
            </w:pPr>
            <w:r w:rsidRPr="00B72715">
              <w:rPr>
                <w:sz w:val="18"/>
                <w:szCs w:val="18"/>
              </w:rPr>
              <w:t>Belgio, Bulgaria, Repubblica Ceca, Grecia, Francia, Italia, Cipro, Lussemburgo, Ungheria, Austria, Polonia, Romania, Finlandia, Islanda, Liechtenstein, Norvegia, Svizzera, Turchia</w:t>
            </w:r>
          </w:p>
        </w:tc>
        <w:tc>
          <w:tcPr>
            <w:tcW w:w="3134" w:type="dxa"/>
            <w:vAlign w:val="center"/>
          </w:tcPr>
          <w:p w:rsidR="00ED7A02" w:rsidRPr="00B72715" w:rsidRDefault="00ED7A02" w:rsidP="0093137B">
            <w:pPr>
              <w:jc w:val="center"/>
              <w:rPr>
                <w:b/>
              </w:rPr>
            </w:pPr>
            <w:r w:rsidRPr="00B72715">
              <w:rPr>
                <w:b/>
              </w:rPr>
              <w:t>€ 112,00</w:t>
            </w:r>
          </w:p>
        </w:tc>
        <w:tc>
          <w:tcPr>
            <w:tcW w:w="3134" w:type="dxa"/>
            <w:vAlign w:val="center"/>
          </w:tcPr>
          <w:p w:rsidR="00ED7A02" w:rsidRPr="00B72715" w:rsidRDefault="00ED7A02" w:rsidP="0093137B">
            <w:pPr>
              <w:jc w:val="center"/>
              <w:rPr>
                <w:b/>
              </w:rPr>
            </w:pPr>
            <w:r w:rsidRPr="00B72715">
              <w:rPr>
                <w:b/>
              </w:rPr>
              <w:t>€ 78,40</w:t>
            </w:r>
          </w:p>
        </w:tc>
      </w:tr>
      <w:tr w:rsidR="00ED7A02" w:rsidRPr="0093137B" w:rsidTr="00B72715">
        <w:tc>
          <w:tcPr>
            <w:tcW w:w="3510" w:type="dxa"/>
          </w:tcPr>
          <w:p w:rsidR="00ED7A02" w:rsidRPr="00B72715" w:rsidRDefault="00ED7A02" w:rsidP="0093137B">
            <w:pPr>
              <w:jc w:val="both"/>
              <w:rPr>
                <w:sz w:val="18"/>
                <w:szCs w:val="18"/>
              </w:rPr>
            </w:pPr>
            <w:r w:rsidRPr="00B72715">
              <w:rPr>
                <w:sz w:val="18"/>
                <w:szCs w:val="18"/>
              </w:rPr>
              <w:t>Germania, Spagna, Lettonia, Malta, Portogallo, Slovacchia, Ex Repubblica Jugoslava di Macedonia</w:t>
            </w:r>
          </w:p>
        </w:tc>
        <w:tc>
          <w:tcPr>
            <w:tcW w:w="3134" w:type="dxa"/>
            <w:vAlign w:val="center"/>
          </w:tcPr>
          <w:p w:rsidR="00ED7A02" w:rsidRPr="00B72715" w:rsidRDefault="00ED7A02" w:rsidP="0093137B">
            <w:pPr>
              <w:jc w:val="center"/>
              <w:rPr>
                <w:b/>
              </w:rPr>
            </w:pPr>
            <w:r w:rsidRPr="00B72715">
              <w:rPr>
                <w:b/>
              </w:rPr>
              <w:t>€ 96,00</w:t>
            </w:r>
          </w:p>
        </w:tc>
        <w:tc>
          <w:tcPr>
            <w:tcW w:w="3134" w:type="dxa"/>
            <w:vAlign w:val="center"/>
          </w:tcPr>
          <w:p w:rsidR="00ED7A02" w:rsidRPr="00B72715" w:rsidRDefault="00ED7A02" w:rsidP="0093137B">
            <w:pPr>
              <w:jc w:val="center"/>
              <w:rPr>
                <w:b/>
              </w:rPr>
            </w:pPr>
            <w:r w:rsidRPr="00B72715">
              <w:rPr>
                <w:b/>
              </w:rPr>
              <w:t>€ 67,20</w:t>
            </w:r>
          </w:p>
        </w:tc>
      </w:tr>
      <w:tr w:rsidR="00ED7A02" w:rsidRPr="0093137B" w:rsidTr="00B72715">
        <w:tc>
          <w:tcPr>
            <w:tcW w:w="3510" w:type="dxa"/>
          </w:tcPr>
          <w:p w:rsidR="00ED7A02" w:rsidRPr="00B72715" w:rsidRDefault="00ED7A02" w:rsidP="0093137B">
            <w:pPr>
              <w:jc w:val="both"/>
              <w:rPr>
                <w:sz w:val="18"/>
                <w:szCs w:val="18"/>
              </w:rPr>
            </w:pPr>
            <w:r w:rsidRPr="00B72715">
              <w:rPr>
                <w:sz w:val="18"/>
                <w:szCs w:val="18"/>
              </w:rPr>
              <w:t>Estonia, Croazia, Lituania, Slovenia</w:t>
            </w:r>
          </w:p>
        </w:tc>
        <w:tc>
          <w:tcPr>
            <w:tcW w:w="3134" w:type="dxa"/>
            <w:vAlign w:val="center"/>
          </w:tcPr>
          <w:p w:rsidR="00ED7A02" w:rsidRPr="00B72715" w:rsidRDefault="00ED7A02" w:rsidP="0093137B">
            <w:pPr>
              <w:jc w:val="center"/>
              <w:rPr>
                <w:b/>
              </w:rPr>
            </w:pPr>
            <w:r w:rsidRPr="00B72715">
              <w:rPr>
                <w:b/>
              </w:rPr>
              <w:t>€ 80,00</w:t>
            </w:r>
          </w:p>
        </w:tc>
        <w:tc>
          <w:tcPr>
            <w:tcW w:w="3134" w:type="dxa"/>
            <w:vAlign w:val="center"/>
          </w:tcPr>
          <w:p w:rsidR="00ED7A02" w:rsidRPr="00B72715" w:rsidRDefault="00ED7A02" w:rsidP="0093137B">
            <w:pPr>
              <w:jc w:val="center"/>
              <w:rPr>
                <w:b/>
              </w:rPr>
            </w:pPr>
            <w:r w:rsidRPr="00B72715">
              <w:rPr>
                <w:b/>
              </w:rPr>
              <w:t>€ 56,00</w:t>
            </w:r>
          </w:p>
        </w:tc>
      </w:tr>
    </w:tbl>
    <w:p w:rsidR="00ED7A02" w:rsidRDefault="00ED7A02" w:rsidP="00AD0758">
      <w:pPr>
        <w:jc w:val="both"/>
      </w:pPr>
    </w:p>
    <w:p w:rsidR="00ED7A02" w:rsidRDefault="00ED7A02" w:rsidP="00FB6692">
      <w:pPr>
        <w:pBdr>
          <w:bottom w:val="single" w:sz="4" w:space="1" w:color="auto"/>
        </w:pBdr>
        <w:jc w:val="both"/>
      </w:pPr>
      <w:r w:rsidRPr="00FE3705">
        <w:t>Per quanto non espressamente previsto dalle linee guida del Programma Erasmus Plus</w:t>
      </w:r>
      <w:r>
        <w:t xml:space="preserve"> e</w:t>
      </w:r>
      <w:r w:rsidRPr="00FE3705">
        <w:t xml:space="preserve"> dal Contratto </w:t>
      </w:r>
      <w:r>
        <w:t>F</w:t>
      </w:r>
      <w:r w:rsidRPr="00FE3705">
        <w:t xml:space="preserve">inanziario </w:t>
      </w:r>
      <w:r>
        <w:t>2015-1-IT02-KA103-014263 e relativi allegati</w:t>
      </w:r>
      <w:r w:rsidRPr="00FE3705">
        <w:t xml:space="preserve">, </w:t>
      </w:r>
      <w:r>
        <w:t>vale quanto previsto dal Regolamento di Ateneo per Missioni e Rimborsi Spese.</w:t>
      </w:r>
    </w:p>
    <w:p w:rsidR="00ED7A02" w:rsidRPr="00FB6692" w:rsidRDefault="00ED7A02" w:rsidP="00B72715">
      <w:pPr>
        <w:pStyle w:val="Titolo2"/>
        <w:pBdr>
          <w:bottom w:val="single" w:sz="4" w:space="1" w:color="auto"/>
        </w:pBdr>
      </w:pPr>
      <w:r w:rsidRPr="00FB6692">
        <w:t>Modalità di fruizione</w:t>
      </w:r>
      <w:r>
        <w:t xml:space="preserve"> della mobilità STA</w:t>
      </w:r>
      <w:r w:rsidRPr="00FB6692">
        <w:t>:</w:t>
      </w:r>
    </w:p>
    <w:p w:rsidR="00ED7A02" w:rsidRDefault="00ED7A02" w:rsidP="00AD0758">
      <w:pPr>
        <w:jc w:val="both"/>
      </w:pPr>
      <w:r>
        <w:t xml:space="preserve">Ciascun docente farà pervenire (via mail all’indirizzo </w:t>
      </w:r>
      <w:hyperlink r:id="rId16" w:history="1">
        <w:r w:rsidRPr="00C958BF">
          <w:rPr>
            <w:rStyle w:val="Collegamentoipertestuale"/>
          </w:rPr>
          <w:t>relint@unipr.it</w:t>
        </w:r>
      </w:hyperlink>
      <w:r>
        <w:t xml:space="preserve">) la propria manifestazione d’interesse ad effettuare una mobilità STA, nel format incluso nel presente documento, entro e non oltre il </w:t>
      </w:r>
      <w:r w:rsidR="000E022C" w:rsidRPr="00F37405">
        <w:rPr>
          <w:b/>
        </w:rPr>
        <w:t>6 novembre</w:t>
      </w:r>
      <w:r w:rsidRPr="00F37405">
        <w:rPr>
          <w:b/>
        </w:rPr>
        <w:t xml:space="preserve"> 201</w:t>
      </w:r>
      <w:r w:rsidR="000E022C" w:rsidRPr="00F37405">
        <w:rPr>
          <w:b/>
        </w:rPr>
        <w:t>5</w:t>
      </w:r>
      <w:r>
        <w:t>.</w:t>
      </w:r>
    </w:p>
    <w:p w:rsidR="00ED7A02" w:rsidRDefault="00ED7A02" w:rsidP="00AD0758">
      <w:pPr>
        <w:jc w:val="both"/>
      </w:pPr>
      <w:smartTag w:uri="urn:schemas-microsoft-com:office:smarttags" w:element="PersonName">
        <w:smartTagPr>
          <w:attr w:name="ProductID" w:val="la UOS Internazionalizzazione"/>
        </w:smartTagPr>
        <w:r>
          <w:t>La UOS Internazionalizzazione</w:t>
        </w:r>
      </w:smartTag>
      <w:r>
        <w:t xml:space="preserve"> di Ateneo provvederà a ripartire le manifestazioni di interesse pervenute ai relativi Dipartimenti di afferenza dei docenti con l’attribuzione del numero di flussi massimo selezionabile.</w:t>
      </w:r>
    </w:p>
    <w:p w:rsidR="00ED7A02" w:rsidRDefault="00ED7A02" w:rsidP="00AD0758">
      <w:pPr>
        <w:jc w:val="both"/>
      </w:pPr>
      <w:r>
        <w:t xml:space="preserve">Entro e non oltre il </w:t>
      </w:r>
      <w:r w:rsidR="000E022C" w:rsidRPr="00F37405">
        <w:rPr>
          <w:b/>
        </w:rPr>
        <w:t>20</w:t>
      </w:r>
      <w:r w:rsidRPr="00F37405">
        <w:rPr>
          <w:b/>
        </w:rPr>
        <w:t xml:space="preserve"> novembre 2015</w:t>
      </w:r>
      <w:r>
        <w:t xml:space="preserve">, i Dipartimenti dell’Ateneo dovranno comunicare alla UOS Internazionalizzazione, con atto formale di approvazione, i nominativi e le sedi di destinazione (via mail all’indirizzo </w:t>
      </w:r>
      <w:hyperlink r:id="rId17" w:history="1">
        <w:r w:rsidRPr="00C958BF">
          <w:rPr>
            <w:rStyle w:val="Collegamentoipertestuale"/>
          </w:rPr>
          <w:t>relint@unipr.it</w:t>
        </w:r>
      </w:hyperlink>
      <w:r>
        <w:t>) dei docenti identificati per la partecipazione alle mobilità STA 2015/2016.</w:t>
      </w:r>
    </w:p>
    <w:p w:rsidR="00ED7A02" w:rsidRDefault="00ED7A02" w:rsidP="00AD0758">
      <w:pPr>
        <w:jc w:val="both"/>
      </w:pPr>
    </w:p>
    <w:p w:rsidR="00ED7A02" w:rsidRDefault="00ED7A02" w:rsidP="00AD0758">
      <w:pPr>
        <w:jc w:val="both"/>
      </w:pPr>
      <w:r>
        <w:t>I docenti individuati sono tenuti a quanto segue:</w:t>
      </w:r>
    </w:p>
    <w:p w:rsidR="00ED7A02" w:rsidRPr="00B72715" w:rsidRDefault="00ED7A02" w:rsidP="00AD0758">
      <w:pPr>
        <w:jc w:val="both"/>
        <w:rPr>
          <w:b/>
        </w:rPr>
      </w:pPr>
      <w:r w:rsidRPr="00B72715">
        <w:rPr>
          <w:b/>
        </w:rPr>
        <w:t>PRIMA DELLA PARTENZA</w:t>
      </w:r>
    </w:p>
    <w:p w:rsidR="00ED7A02" w:rsidRPr="00FB6692" w:rsidRDefault="00ED7A02" w:rsidP="00502CEE">
      <w:pPr>
        <w:pStyle w:val="Paragrafoelenco"/>
        <w:numPr>
          <w:ilvl w:val="0"/>
          <w:numId w:val="3"/>
        </w:numPr>
        <w:jc w:val="both"/>
      </w:pPr>
      <w:r w:rsidRPr="00FB6692">
        <w:t>In accord</w:t>
      </w:r>
      <w:r>
        <w:t>o</w:t>
      </w:r>
      <w:r w:rsidRPr="00FB6692">
        <w:t xml:space="preserve"> con l’istituzione ospitante, compilazion</w:t>
      </w:r>
      <w:r>
        <w:t xml:space="preserve">e dell’Allegato 1 al Contratto </w:t>
      </w:r>
      <w:r w:rsidRPr="00FB6692">
        <w:t>STAFF MOBILITY FOR TEACHING MOBILITY AGREEMENT, nella sua sezione “Section to be completed before the mobility”</w:t>
      </w:r>
      <w:r>
        <w:t>;</w:t>
      </w:r>
    </w:p>
    <w:p w:rsidR="00ED7A02" w:rsidRDefault="00ED7A02" w:rsidP="00FB6692">
      <w:pPr>
        <w:pStyle w:val="Paragrafoelenco"/>
        <w:numPr>
          <w:ilvl w:val="0"/>
          <w:numId w:val="3"/>
        </w:numPr>
        <w:jc w:val="both"/>
      </w:pPr>
      <w:r>
        <w:t xml:space="preserve">Dietro preventivo consenso del Direttore di Dipartimento, compilazione del modello di autorizzazione di missione all’estero presso </w:t>
      </w:r>
      <w:smartTag w:uri="urn:schemas-microsoft-com:office:smarttags" w:element="PersonName">
        <w:smartTagPr>
          <w:attr w:name="ProductID" w:val="la UOS Internazionalizzazione"/>
        </w:smartTagPr>
        <w:r>
          <w:t>la UOS Internazionalizzazione</w:t>
        </w:r>
      </w:smartTag>
      <w:r>
        <w:t>, sede centrale, via Università 12 – 43121 Parma (</w:t>
      </w:r>
      <w:hyperlink r:id="rId18" w:history="1">
        <w:r w:rsidRPr="00C958BF">
          <w:rPr>
            <w:rStyle w:val="Collegamentoipertestuale"/>
          </w:rPr>
          <w:t>relint@unipr.it</w:t>
        </w:r>
      </w:hyperlink>
      <w:r>
        <w:t xml:space="preserve"> – Tel.: 0521.034037);</w:t>
      </w:r>
    </w:p>
    <w:p w:rsidR="00ED7A02" w:rsidRDefault="00ED7A02" w:rsidP="00FB6692">
      <w:pPr>
        <w:pStyle w:val="Paragrafoelenco"/>
        <w:numPr>
          <w:ilvl w:val="0"/>
          <w:numId w:val="3"/>
        </w:numPr>
        <w:jc w:val="both"/>
      </w:pPr>
      <w:r>
        <w:t>Compilazione e sottoscrizione del contratto (e relativi allegati).</w:t>
      </w:r>
    </w:p>
    <w:p w:rsidR="00ED7A02" w:rsidRPr="00B72715" w:rsidRDefault="00ED7A02" w:rsidP="00502CEE">
      <w:pPr>
        <w:jc w:val="both"/>
        <w:rPr>
          <w:b/>
        </w:rPr>
      </w:pPr>
      <w:r w:rsidRPr="00B72715">
        <w:rPr>
          <w:b/>
        </w:rPr>
        <w:t>DOPO IL RIENTRO</w:t>
      </w:r>
    </w:p>
    <w:p w:rsidR="00ED7A02" w:rsidRDefault="00ED7A02" w:rsidP="00502CEE">
      <w:pPr>
        <w:pStyle w:val="Paragrafoelenco"/>
        <w:numPr>
          <w:ilvl w:val="0"/>
          <w:numId w:val="4"/>
        </w:numPr>
        <w:jc w:val="both"/>
      </w:pPr>
      <w:r>
        <w:t>Consegna della certificazione, rilasciata dall’istituzione ospitante, riportante l’avvenuto svolgimento dell’attività didattica nelle modalità e nei contenuti previsti dal contratto;</w:t>
      </w:r>
    </w:p>
    <w:p w:rsidR="00ED7A02" w:rsidRDefault="00ED7A02" w:rsidP="00502CEE">
      <w:pPr>
        <w:pStyle w:val="Paragrafoelenco"/>
        <w:numPr>
          <w:ilvl w:val="0"/>
          <w:numId w:val="4"/>
        </w:numPr>
        <w:jc w:val="both"/>
      </w:pPr>
      <w:r>
        <w:t>Consegna, alla UOS Internazionalizzazione, delle pezze giustificative relative ai costi sostenuti durante il periodo di mobilità;</w:t>
      </w:r>
    </w:p>
    <w:p w:rsidR="00ED7A02" w:rsidRDefault="00ED7A02" w:rsidP="00502CEE">
      <w:pPr>
        <w:pStyle w:val="Paragrafoelenco"/>
        <w:numPr>
          <w:ilvl w:val="0"/>
          <w:numId w:val="4"/>
        </w:numPr>
        <w:jc w:val="both"/>
      </w:pPr>
      <w:r>
        <w:t>Compilazione del Rapporto Finale (</w:t>
      </w:r>
      <w:proofErr w:type="gramStart"/>
      <w:r>
        <w:t>entro e non oltre</w:t>
      </w:r>
      <w:proofErr w:type="gramEnd"/>
      <w:r>
        <w:t xml:space="preserve"> </w:t>
      </w:r>
      <w:r w:rsidR="00F37405">
        <w:t>1</w:t>
      </w:r>
      <w:r>
        <w:t>0 giorni dal rientro).</w:t>
      </w:r>
    </w:p>
    <w:p w:rsidR="00ED7A02" w:rsidRDefault="00ED7A02" w:rsidP="00AD0758">
      <w:pPr>
        <w:jc w:val="both"/>
      </w:pPr>
    </w:p>
    <w:p w:rsidR="00ED7A02" w:rsidRDefault="00ED7A02" w:rsidP="00AD0758">
      <w:pPr>
        <w:jc w:val="both"/>
      </w:pPr>
      <w:r>
        <w:t>Parma, 6 Ottobre 2015</w:t>
      </w:r>
    </w:p>
    <w:p w:rsidR="00ED7A02" w:rsidRDefault="00ED7A02" w:rsidP="00AD0758">
      <w:pPr>
        <w:jc w:val="both"/>
      </w:pPr>
    </w:p>
    <w:p w:rsidR="00ED7A02" w:rsidRDefault="00ED7A02" w:rsidP="00AD0758">
      <w:pPr>
        <w:jc w:val="both"/>
      </w:pPr>
    </w:p>
    <w:p w:rsidR="00ED7A02" w:rsidRDefault="00ED7A02" w:rsidP="00AD0758">
      <w:pPr>
        <w:jc w:val="both"/>
      </w:pPr>
      <w:smartTag w:uri="urn:schemas-microsoft-com:office:smarttags" w:element="PersonName">
        <w:smartTagPr>
          <w:attr w:name="ProductID" w:val="la UOS Internazionalizzazione"/>
        </w:smartTagPr>
        <w:r>
          <w:t>La UOS Internazionalizzazione</w:t>
        </w:r>
      </w:smartTag>
      <w:r>
        <w:tab/>
      </w:r>
    </w:p>
    <w:p w:rsidR="00ED7A02" w:rsidRDefault="00ED7A02" w:rsidP="00AD0758">
      <w:pPr>
        <w:jc w:val="both"/>
      </w:pPr>
    </w:p>
    <w:p w:rsidR="00ED7A02" w:rsidRDefault="00ED7A02" w:rsidP="00AD0758">
      <w:pPr>
        <w:jc w:val="both"/>
      </w:pPr>
      <w:r>
        <w:tab/>
      </w:r>
      <w:r>
        <w:tab/>
      </w:r>
      <w:r>
        <w:tab/>
      </w:r>
      <w:r>
        <w:tab/>
      </w:r>
      <w:r>
        <w:tab/>
      </w:r>
      <w:r>
        <w:tab/>
      </w:r>
      <w:r>
        <w:tab/>
      </w:r>
      <w:r>
        <w:tab/>
      </w:r>
      <w:r>
        <w:tab/>
        <w:t>Il Pro Rettore</w:t>
      </w:r>
    </w:p>
    <w:p w:rsidR="00ED7A02" w:rsidRDefault="00ED7A02" w:rsidP="00AD0758">
      <w:pPr>
        <w:jc w:val="both"/>
      </w:pPr>
    </w:p>
    <w:p w:rsidR="00ED7A02" w:rsidRPr="00FB6692" w:rsidRDefault="00ED7A02" w:rsidP="00AD0758">
      <w:pPr>
        <w:jc w:val="both"/>
      </w:pPr>
      <w:r>
        <w:tab/>
      </w:r>
      <w:r>
        <w:tab/>
      </w:r>
      <w:r>
        <w:tab/>
      </w:r>
      <w:r>
        <w:tab/>
      </w:r>
      <w:r>
        <w:tab/>
      </w:r>
      <w:r>
        <w:tab/>
      </w:r>
      <w:r>
        <w:tab/>
        <w:t xml:space="preserve">  </w:t>
      </w:r>
      <w:r>
        <w:tab/>
        <w:t xml:space="preserve">  Prof. Francesca ZANELLA</w:t>
      </w:r>
    </w:p>
    <w:sectPr w:rsidR="00ED7A02" w:rsidRPr="00FB6692" w:rsidSect="0032741B">
      <w:headerReference w:type="default" r:id="rId19"/>
      <w:footerReference w:type="default" r:id="rId20"/>
      <w:pgSz w:w="11906" w:h="16838"/>
      <w:pgMar w:top="2382"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A02" w:rsidRDefault="00ED7A02" w:rsidP="00A145B4">
      <w:r>
        <w:separator/>
      </w:r>
    </w:p>
  </w:endnote>
  <w:endnote w:type="continuationSeparator" w:id="0">
    <w:p w:rsidR="00ED7A02" w:rsidRDefault="00ED7A02" w:rsidP="00A14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A02" w:rsidRDefault="00C756E3">
    <w:pPr>
      <w:pStyle w:val="Pidipagina"/>
      <w:jc w:val="center"/>
    </w:pPr>
    <w:r>
      <w:fldChar w:fldCharType="begin"/>
    </w:r>
    <w:r>
      <w:instrText>PAGE   \* MERGEFORMAT</w:instrText>
    </w:r>
    <w:r>
      <w:fldChar w:fldCharType="separate"/>
    </w:r>
    <w:r w:rsidR="00D50E33">
      <w:rPr>
        <w:noProof/>
      </w:rPr>
      <w:t>3</w:t>
    </w:r>
    <w:r>
      <w:rPr>
        <w:noProof/>
      </w:rPr>
      <w:fldChar w:fldCharType="end"/>
    </w:r>
  </w:p>
  <w:p w:rsidR="00ED7A02" w:rsidRPr="00A145B4" w:rsidRDefault="00ED7A02" w:rsidP="00A145B4">
    <w:pPr>
      <w:pStyle w:val="Pidipagina"/>
      <w:jc w:val="center"/>
      <w:rPr>
        <w:smallCap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A02" w:rsidRDefault="00ED7A02" w:rsidP="00A145B4">
      <w:r>
        <w:separator/>
      </w:r>
    </w:p>
  </w:footnote>
  <w:footnote w:type="continuationSeparator" w:id="0">
    <w:p w:rsidR="00ED7A02" w:rsidRDefault="00ED7A02" w:rsidP="00A145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A02" w:rsidRDefault="00D50E33">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2049" type="#_x0000_t75" style="position:absolute;margin-left:284.3pt;margin-top:24.5pt;width:232.3pt;height:66.45pt;z-index:-251656192;visibility:visible">
          <v:imagedata r:id="rId1" o:title=""/>
        </v:shape>
      </w:pict>
    </w:r>
    <w:r>
      <w:rPr>
        <w:noProof/>
        <w:lang w:eastAsia="it-IT"/>
      </w:rPr>
      <w:pict>
        <v:shape id="Immagine 3" o:spid="_x0000_s2050" type="#_x0000_t75" style="position:absolute;margin-left:-10.8pt;margin-top:-7.7pt;width:290.7pt;height:95.1pt;z-index:-251655168;visibility:visible">
          <v:imagedata r:id="rId2"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2942"/>
    <w:multiLevelType w:val="hybridMultilevel"/>
    <w:tmpl w:val="24B8F35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C7C35BA"/>
    <w:multiLevelType w:val="hybridMultilevel"/>
    <w:tmpl w:val="B900EDA0"/>
    <w:lvl w:ilvl="0" w:tplc="0410000F">
      <w:start w:val="1"/>
      <w:numFmt w:val="decimal"/>
      <w:lvlText w:val="%1."/>
      <w:lvlJc w:val="left"/>
      <w:pPr>
        <w:ind w:left="3552" w:hanging="360"/>
      </w:pPr>
      <w:rPr>
        <w:rFonts w:cs="Times New Roman"/>
      </w:rPr>
    </w:lvl>
    <w:lvl w:ilvl="1" w:tplc="04100019">
      <w:start w:val="1"/>
      <w:numFmt w:val="lowerLetter"/>
      <w:lvlText w:val="%2."/>
      <w:lvlJc w:val="left"/>
      <w:pPr>
        <w:ind w:left="4272" w:hanging="360"/>
      </w:pPr>
      <w:rPr>
        <w:rFonts w:cs="Times New Roman"/>
      </w:rPr>
    </w:lvl>
    <w:lvl w:ilvl="2" w:tplc="0410001B">
      <w:start w:val="1"/>
      <w:numFmt w:val="lowerRoman"/>
      <w:lvlText w:val="%3."/>
      <w:lvlJc w:val="right"/>
      <w:pPr>
        <w:ind w:left="4992" w:hanging="180"/>
      </w:pPr>
      <w:rPr>
        <w:rFonts w:cs="Times New Roman"/>
      </w:rPr>
    </w:lvl>
    <w:lvl w:ilvl="3" w:tplc="0410000F" w:tentative="1">
      <w:start w:val="1"/>
      <w:numFmt w:val="decimal"/>
      <w:lvlText w:val="%4."/>
      <w:lvlJc w:val="left"/>
      <w:pPr>
        <w:ind w:left="5712" w:hanging="360"/>
      </w:pPr>
      <w:rPr>
        <w:rFonts w:cs="Times New Roman"/>
      </w:rPr>
    </w:lvl>
    <w:lvl w:ilvl="4" w:tplc="04100019" w:tentative="1">
      <w:start w:val="1"/>
      <w:numFmt w:val="lowerLetter"/>
      <w:lvlText w:val="%5."/>
      <w:lvlJc w:val="left"/>
      <w:pPr>
        <w:ind w:left="6432" w:hanging="360"/>
      </w:pPr>
      <w:rPr>
        <w:rFonts w:cs="Times New Roman"/>
      </w:rPr>
    </w:lvl>
    <w:lvl w:ilvl="5" w:tplc="0410001B" w:tentative="1">
      <w:start w:val="1"/>
      <w:numFmt w:val="lowerRoman"/>
      <w:lvlText w:val="%6."/>
      <w:lvlJc w:val="right"/>
      <w:pPr>
        <w:ind w:left="7152" w:hanging="180"/>
      </w:pPr>
      <w:rPr>
        <w:rFonts w:cs="Times New Roman"/>
      </w:rPr>
    </w:lvl>
    <w:lvl w:ilvl="6" w:tplc="0410000F" w:tentative="1">
      <w:start w:val="1"/>
      <w:numFmt w:val="decimal"/>
      <w:lvlText w:val="%7."/>
      <w:lvlJc w:val="left"/>
      <w:pPr>
        <w:ind w:left="7872" w:hanging="360"/>
      </w:pPr>
      <w:rPr>
        <w:rFonts w:cs="Times New Roman"/>
      </w:rPr>
    </w:lvl>
    <w:lvl w:ilvl="7" w:tplc="04100019" w:tentative="1">
      <w:start w:val="1"/>
      <w:numFmt w:val="lowerLetter"/>
      <w:lvlText w:val="%8."/>
      <w:lvlJc w:val="left"/>
      <w:pPr>
        <w:ind w:left="8592" w:hanging="360"/>
      </w:pPr>
      <w:rPr>
        <w:rFonts w:cs="Times New Roman"/>
      </w:rPr>
    </w:lvl>
    <w:lvl w:ilvl="8" w:tplc="0410001B" w:tentative="1">
      <w:start w:val="1"/>
      <w:numFmt w:val="lowerRoman"/>
      <w:lvlText w:val="%9."/>
      <w:lvlJc w:val="right"/>
      <w:pPr>
        <w:ind w:left="9312" w:hanging="180"/>
      </w:pPr>
      <w:rPr>
        <w:rFonts w:cs="Times New Roman"/>
      </w:rPr>
    </w:lvl>
  </w:abstractNum>
  <w:abstractNum w:abstractNumId="2">
    <w:nsid w:val="29DD35A3"/>
    <w:multiLevelType w:val="hybridMultilevel"/>
    <w:tmpl w:val="BB56859A"/>
    <w:lvl w:ilvl="0" w:tplc="0410000F">
      <w:start w:val="1"/>
      <w:numFmt w:val="decimal"/>
      <w:lvlText w:val="%1."/>
      <w:lvlJc w:val="left"/>
      <w:pPr>
        <w:ind w:left="4260" w:hanging="360"/>
      </w:pPr>
      <w:rPr>
        <w:rFonts w:cs="Times New Roman"/>
      </w:rPr>
    </w:lvl>
    <w:lvl w:ilvl="1" w:tplc="04100019" w:tentative="1">
      <w:start w:val="1"/>
      <w:numFmt w:val="lowerLetter"/>
      <w:lvlText w:val="%2."/>
      <w:lvlJc w:val="left"/>
      <w:pPr>
        <w:ind w:left="4980" w:hanging="360"/>
      </w:pPr>
      <w:rPr>
        <w:rFonts w:cs="Times New Roman"/>
      </w:rPr>
    </w:lvl>
    <w:lvl w:ilvl="2" w:tplc="0410001B" w:tentative="1">
      <w:start w:val="1"/>
      <w:numFmt w:val="lowerRoman"/>
      <w:lvlText w:val="%3."/>
      <w:lvlJc w:val="right"/>
      <w:pPr>
        <w:ind w:left="5700" w:hanging="180"/>
      </w:pPr>
      <w:rPr>
        <w:rFonts w:cs="Times New Roman"/>
      </w:rPr>
    </w:lvl>
    <w:lvl w:ilvl="3" w:tplc="0410000F" w:tentative="1">
      <w:start w:val="1"/>
      <w:numFmt w:val="decimal"/>
      <w:lvlText w:val="%4."/>
      <w:lvlJc w:val="left"/>
      <w:pPr>
        <w:ind w:left="6420" w:hanging="360"/>
      </w:pPr>
      <w:rPr>
        <w:rFonts w:cs="Times New Roman"/>
      </w:rPr>
    </w:lvl>
    <w:lvl w:ilvl="4" w:tplc="04100019" w:tentative="1">
      <w:start w:val="1"/>
      <w:numFmt w:val="lowerLetter"/>
      <w:lvlText w:val="%5."/>
      <w:lvlJc w:val="left"/>
      <w:pPr>
        <w:ind w:left="7140" w:hanging="360"/>
      </w:pPr>
      <w:rPr>
        <w:rFonts w:cs="Times New Roman"/>
      </w:rPr>
    </w:lvl>
    <w:lvl w:ilvl="5" w:tplc="0410001B" w:tentative="1">
      <w:start w:val="1"/>
      <w:numFmt w:val="lowerRoman"/>
      <w:lvlText w:val="%6."/>
      <w:lvlJc w:val="right"/>
      <w:pPr>
        <w:ind w:left="7860" w:hanging="180"/>
      </w:pPr>
      <w:rPr>
        <w:rFonts w:cs="Times New Roman"/>
      </w:rPr>
    </w:lvl>
    <w:lvl w:ilvl="6" w:tplc="0410000F" w:tentative="1">
      <w:start w:val="1"/>
      <w:numFmt w:val="decimal"/>
      <w:lvlText w:val="%7."/>
      <w:lvlJc w:val="left"/>
      <w:pPr>
        <w:ind w:left="8580" w:hanging="360"/>
      </w:pPr>
      <w:rPr>
        <w:rFonts w:cs="Times New Roman"/>
      </w:rPr>
    </w:lvl>
    <w:lvl w:ilvl="7" w:tplc="04100019" w:tentative="1">
      <w:start w:val="1"/>
      <w:numFmt w:val="lowerLetter"/>
      <w:lvlText w:val="%8."/>
      <w:lvlJc w:val="left"/>
      <w:pPr>
        <w:ind w:left="9300" w:hanging="360"/>
      </w:pPr>
      <w:rPr>
        <w:rFonts w:cs="Times New Roman"/>
      </w:rPr>
    </w:lvl>
    <w:lvl w:ilvl="8" w:tplc="0410001B" w:tentative="1">
      <w:start w:val="1"/>
      <w:numFmt w:val="lowerRoman"/>
      <w:lvlText w:val="%9."/>
      <w:lvlJc w:val="right"/>
      <w:pPr>
        <w:ind w:left="10020" w:hanging="180"/>
      </w:pPr>
      <w:rPr>
        <w:rFonts w:cs="Times New Roman"/>
      </w:rPr>
    </w:lvl>
  </w:abstractNum>
  <w:abstractNum w:abstractNumId="3">
    <w:nsid w:val="566E7490"/>
    <w:multiLevelType w:val="hybridMultilevel"/>
    <w:tmpl w:val="F628292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741635D4"/>
    <w:multiLevelType w:val="hybridMultilevel"/>
    <w:tmpl w:val="6416F49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IZmeQBK1Zku/aDuQpJQC3pMhsgs=" w:salt="J5Wl04yJq8/8h/74/DjONQ=="/>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6D56"/>
    <w:rsid w:val="000032CE"/>
    <w:rsid w:val="00007A30"/>
    <w:rsid w:val="00063712"/>
    <w:rsid w:val="000D158F"/>
    <w:rsid w:val="000E022C"/>
    <w:rsid w:val="000E6C98"/>
    <w:rsid w:val="000F661C"/>
    <w:rsid w:val="0019209F"/>
    <w:rsid w:val="00194FA6"/>
    <w:rsid w:val="001B1464"/>
    <w:rsid w:val="002076FF"/>
    <w:rsid w:val="00225276"/>
    <w:rsid w:val="00245E5F"/>
    <w:rsid w:val="002A6D56"/>
    <w:rsid w:val="00313AFA"/>
    <w:rsid w:val="0032741B"/>
    <w:rsid w:val="00366E00"/>
    <w:rsid w:val="003752A7"/>
    <w:rsid w:val="003D239D"/>
    <w:rsid w:val="00410D2E"/>
    <w:rsid w:val="004D4CDB"/>
    <w:rsid w:val="00502CEE"/>
    <w:rsid w:val="00590B69"/>
    <w:rsid w:val="005E022B"/>
    <w:rsid w:val="00600E32"/>
    <w:rsid w:val="006826EE"/>
    <w:rsid w:val="00691321"/>
    <w:rsid w:val="006F5BCE"/>
    <w:rsid w:val="007E7276"/>
    <w:rsid w:val="00801FFB"/>
    <w:rsid w:val="00822F51"/>
    <w:rsid w:val="008C540B"/>
    <w:rsid w:val="008C7809"/>
    <w:rsid w:val="0091214D"/>
    <w:rsid w:val="009251FF"/>
    <w:rsid w:val="0093137B"/>
    <w:rsid w:val="009B695C"/>
    <w:rsid w:val="009D0734"/>
    <w:rsid w:val="00A145B4"/>
    <w:rsid w:val="00A67FC5"/>
    <w:rsid w:val="00AD0758"/>
    <w:rsid w:val="00AE44F1"/>
    <w:rsid w:val="00B72715"/>
    <w:rsid w:val="00BA552E"/>
    <w:rsid w:val="00BC0102"/>
    <w:rsid w:val="00C32A31"/>
    <w:rsid w:val="00C71474"/>
    <w:rsid w:val="00C756E3"/>
    <w:rsid w:val="00C958BF"/>
    <w:rsid w:val="00CC0C8D"/>
    <w:rsid w:val="00CE517F"/>
    <w:rsid w:val="00D02828"/>
    <w:rsid w:val="00D50E33"/>
    <w:rsid w:val="00D72E3E"/>
    <w:rsid w:val="00D81A96"/>
    <w:rsid w:val="00DB369C"/>
    <w:rsid w:val="00DF614C"/>
    <w:rsid w:val="00ED7A02"/>
    <w:rsid w:val="00F133F2"/>
    <w:rsid w:val="00F37405"/>
    <w:rsid w:val="00F71256"/>
    <w:rsid w:val="00F8140E"/>
    <w:rsid w:val="00F82F7A"/>
    <w:rsid w:val="00F940A4"/>
    <w:rsid w:val="00FB6692"/>
    <w:rsid w:val="00FE37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7A30"/>
    <w:rPr>
      <w:lang w:eastAsia="en-US"/>
    </w:rPr>
  </w:style>
  <w:style w:type="paragraph" w:styleId="Titolo2">
    <w:name w:val="heading 2"/>
    <w:basedOn w:val="Normale"/>
    <w:next w:val="Normale"/>
    <w:link w:val="Titolo2Carattere"/>
    <w:uiPriority w:val="99"/>
    <w:qFormat/>
    <w:rsid w:val="006826EE"/>
    <w:pPr>
      <w:keepNext/>
      <w:keepLines/>
      <w:spacing w:before="200"/>
      <w:outlineLvl w:val="1"/>
    </w:pPr>
    <w:rPr>
      <w:rFonts w:ascii="Cambria" w:eastAsia="Times New Roman" w:hAnsi="Cambria"/>
      <w:b/>
      <w:bCs/>
      <w:color w:val="4F81BD"/>
      <w:sz w:val="26"/>
      <w:szCs w:val="26"/>
    </w:rPr>
  </w:style>
  <w:style w:type="paragraph" w:styleId="Titolo3">
    <w:name w:val="heading 3"/>
    <w:basedOn w:val="Normale"/>
    <w:next w:val="Normale"/>
    <w:link w:val="Titolo3Carattere"/>
    <w:uiPriority w:val="99"/>
    <w:qFormat/>
    <w:rsid w:val="000F661C"/>
    <w:pPr>
      <w:keepNext/>
      <w:keepLines/>
      <w:spacing w:before="200"/>
      <w:outlineLvl w:val="2"/>
    </w:pPr>
    <w:rPr>
      <w:rFonts w:ascii="Cambria" w:eastAsia="Times New Roman" w:hAnsi="Cambria"/>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locked/>
    <w:rsid w:val="006826EE"/>
    <w:rPr>
      <w:rFonts w:ascii="Cambria" w:hAnsi="Cambria" w:cs="Times New Roman"/>
      <w:b/>
      <w:bCs/>
      <w:color w:val="4F81BD"/>
      <w:sz w:val="26"/>
      <w:szCs w:val="26"/>
    </w:rPr>
  </w:style>
  <w:style w:type="character" w:customStyle="1" w:styleId="Titolo3Carattere">
    <w:name w:val="Titolo 3 Carattere"/>
    <w:basedOn w:val="Carpredefinitoparagrafo"/>
    <w:link w:val="Titolo3"/>
    <w:uiPriority w:val="99"/>
    <w:locked/>
    <w:rsid w:val="000F661C"/>
    <w:rPr>
      <w:rFonts w:ascii="Cambria" w:hAnsi="Cambria" w:cs="Times New Roman"/>
      <w:b/>
      <w:bCs/>
      <w:color w:val="4F81BD"/>
    </w:rPr>
  </w:style>
  <w:style w:type="paragraph" w:styleId="Paragrafoelenco">
    <w:name w:val="List Paragraph"/>
    <w:basedOn w:val="Normale"/>
    <w:uiPriority w:val="99"/>
    <w:qFormat/>
    <w:rsid w:val="0091214D"/>
    <w:pPr>
      <w:ind w:left="720"/>
      <w:contextualSpacing/>
    </w:pPr>
  </w:style>
  <w:style w:type="character" w:styleId="Collegamentoipertestuale">
    <w:name w:val="Hyperlink"/>
    <w:basedOn w:val="Carpredefinitoparagrafo"/>
    <w:uiPriority w:val="99"/>
    <w:rsid w:val="00F8140E"/>
    <w:rPr>
      <w:rFonts w:cs="Times New Roman"/>
      <w:color w:val="0000FF"/>
      <w:u w:val="single"/>
    </w:rPr>
  </w:style>
  <w:style w:type="table" w:styleId="Grigliatabella">
    <w:name w:val="Table Grid"/>
    <w:basedOn w:val="Tabellanormale"/>
    <w:uiPriority w:val="99"/>
    <w:rsid w:val="00AD07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rsid w:val="00A145B4"/>
    <w:pPr>
      <w:tabs>
        <w:tab w:val="center" w:pos="4819"/>
        <w:tab w:val="right" w:pos="9638"/>
      </w:tabs>
    </w:pPr>
  </w:style>
  <w:style w:type="character" w:customStyle="1" w:styleId="IntestazioneCarattere">
    <w:name w:val="Intestazione Carattere"/>
    <w:basedOn w:val="Carpredefinitoparagrafo"/>
    <w:link w:val="Intestazione"/>
    <w:uiPriority w:val="99"/>
    <w:locked/>
    <w:rsid w:val="00A145B4"/>
    <w:rPr>
      <w:rFonts w:cs="Times New Roman"/>
    </w:rPr>
  </w:style>
  <w:style w:type="paragraph" w:styleId="Pidipagina">
    <w:name w:val="footer"/>
    <w:basedOn w:val="Normale"/>
    <w:link w:val="PidipaginaCarattere"/>
    <w:uiPriority w:val="99"/>
    <w:rsid w:val="00A145B4"/>
    <w:pPr>
      <w:tabs>
        <w:tab w:val="center" w:pos="4819"/>
        <w:tab w:val="right" w:pos="9638"/>
      </w:tabs>
    </w:pPr>
  </w:style>
  <w:style w:type="character" w:customStyle="1" w:styleId="PidipaginaCarattere">
    <w:name w:val="Piè di pagina Carattere"/>
    <w:basedOn w:val="Carpredefinitoparagrafo"/>
    <w:link w:val="Pidipagina"/>
    <w:uiPriority w:val="99"/>
    <w:locked/>
    <w:rsid w:val="00A145B4"/>
    <w:rPr>
      <w:rFonts w:cs="Times New Roman"/>
    </w:rPr>
  </w:style>
  <w:style w:type="paragraph" w:styleId="Testofumetto">
    <w:name w:val="Balloon Text"/>
    <w:basedOn w:val="Normale"/>
    <w:link w:val="TestofumettoCarattere"/>
    <w:uiPriority w:val="99"/>
    <w:semiHidden/>
    <w:rsid w:val="00A145B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145B4"/>
    <w:rPr>
      <w:rFonts w:ascii="Tahoma" w:hAnsi="Tahoma" w:cs="Tahoma"/>
      <w:sz w:val="16"/>
      <w:szCs w:val="16"/>
    </w:rPr>
  </w:style>
  <w:style w:type="paragraph" w:styleId="Titolo">
    <w:name w:val="Title"/>
    <w:basedOn w:val="Normale"/>
    <w:next w:val="Normale"/>
    <w:link w:val="TitoloCarattere"/>
    <w:uiPriority w:val="99"/>
    <w:qFormat/>
    <w:locked/>
    <w:rsid w:val="0032741B"/>
    <w:pPr>
      <w:spacing w:before="240" w:after="60"/>
      <w:jc w:val="center"/>
      <w:outlineLvl w:val="0"/>
    </w:pPr>
    <w:rPr>
      <w:rFonts w:ascii="Cambria" w:eastAsia="Times New Roman" w:hAnsi="Cambria"/>
      <w:b/>
      <w:bCs/>
      <w:kern w:val="28"/>
      <w:sz w:val="32"/>
      <w:szCs w:val="32"/>
    </w:rPr>
  </w:style>
  <w:style w:type="character" w:customStyle="1" w:styleId="TitoloCarattere">
    <w:name w:val="Titolo Carattere"/>
    <w:basedOn w:val="Carpredefinitoparagrafo"/>
    <w:link w:val="Titolo"/>
    <w:uiPriority w:val="99"/>
    <w:locked/>
    <w:rsid w:val="0032741B"/>
    <w:rPr>
      <w:rFonts w:ascii="Cambria" w:hAnsi="Cambria" w:cs="Times New Roman"/>
      <w:b/>
      <w:bCs/>
      <w:kern w:val="28"/>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6258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pr.it/sites/default/files/albo_pretorio/allegati/30-03-2015/regolamento_per_missisioni_e_rimborsi_spese.pdf" TargetMode="External"/><Relationship Id="rId13" Type="http://schemas.openxmlformats.org/officeDocument/2006/relationships/hyperlink" Target="mailto:relint@unipr.it" TargetMode="External"/><Relationship Id="rId18" Type="http://schemas.openxmlformats.org/officeDocument/2006/relationships/hyperlink" Target="mailto:relint@unipr.it"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nipr.it/sites/default/files/allegatiparagrafo/13-10-2015/unipr_staff_mobility_for_teaching_15.docx" TargetMode="External"/><Relationship Id="rId17" Type="http://schemas.openxmlformats.org/officeDocument/2006/relationships/hyperlink" Target="mailto:relint@unipr.it" TargetMode="External"/><Relationship Id="rId2" Type="http://schemas.openxmlformats.org/officeDocument/2006/relationships/styles" Target="styles.xml"/><Relationship Id="rId16" Type="http://schemas.openxmlformats.org/officeDocument/2006/relationships/hyperlink" Target="mailto:relint@unipr.i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ipr.it/sites/default/files/allegatiparagrafo/13-10-2015/unipr_staff_mobility_for_teaching_15.pdf" TargetMode="External"/><Relationship Id="rId5" Type="http://schemas.openxmlformats.org/officeDocument/2006/relationships/webSettings" Target="webSettings.xml"/><Relationship Id="rId15" Type="http://schemas.openxmlformats.org/officeDocument/2006/relationships/hyperlink" Target="http://ec.europa.eu/programmes/erasmus-plus/tools/distance_en.htm" TargetMode="External"/><Relationship Id="rId10" Type="http://schemas.openxmlformats.org/officeDocument/2006/relationships/hyperlink" Target="http://www.unipr.it/sites/default/files/allegatiparagrafo/12-10-2015/unipr_sta_2015-16_manifestazione_interesse_0.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pr.it/sites/default/files/allegatiparagrafo/12-10-2015/unipr_sta_2015-16_manifestazione_interesse_0.pdf" TargetMode="External"/><Relationship Id="rId14" Type="http://schemas.openxmlformats.org/officeDocument/2006/relationships/hyperlink" Target="mailto:relint@unipr.i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1264</Words>
  <Characters>7208</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Programma Erasmus + - A</vt:lpstr>
    </vt:vector>
  </TitlesOfParts>
  <Company>UNIPR</Company>
  <LinksUpToDate>false</LinksUpToDate>
  <CharactersWithSpaces>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Erasmus + - A</dc:title>
  <dc:subject/>
  <dc:creator>Alessandro Bernazzoli</dc:creator>
  <cp:keywords/>
  <dc:description/>
  <cp:lastModifiedBy>Alessandro Bernazzoli</cp:lastModifiedBy>
  <cp:revision>7</cp:revision>
  <dcterms:created xsi:type="dcterms:W3CDTF">2015-10-05T11:15:00Z</dcterms:created>
  <dcterms:modified xsi:type="dcterms:W3CDTF">2015-10-13T07:07:00Z</dcterms:modified>
</cp:coreProperties>
</file>